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pPr>
      <w:r>
        <w:rPr>
          <w:rFonts w:eastAsia="Times New Roman" w:cs="Times New Roman" w:ascii="Noto Sans" w:hAnsi="Noto Sans"/>
          <w:b/>
          <w:bCs/>
          <w:smallCaps/>
          <w:color w:val="004B99"/>
          <w:lang w:eastAsia="ca-ES"/>
        </w:rPr>
        <w:t>Anexo</w:t>
      </w:r>
      <w:r>
        <w:rPr>
          <w:rFonts w:eastAsia="Times New Roman" w:cs="Times New Roman" w:ascii="Noto Sans" w:hAnsi="Noto Sans"/>
          <w:b/>
          <w:bCs/>
          <w:color w:val="004B99"/>
          <w:lang w:eastAsia="ca-ES"/>
        </w:rPr>
        <w:t xml:space="preserve"> </w:t>
      </w:r>
      <w:r>
        <w:rPr>
          <w:rFonts w:eastAsia="Times New Roman" w:cs="Times New Roman" w:ascii="Noto Sans" w:hAnsi="Noto Sans"/>
          <w:b/>
          <w:bCs/>
          <w:color w:val="004B99"/>
          <w:sz w:val="24"/>
          <w:szCs w:val="24"/>
          <w:lang w:eastAsia="ca-ES"/>
        </w:rPr>
        <w:t>4</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b/>
          <w:bCs/>
          <w:color w:val="004B99"/>
          <w:lang w:eastAsia="ca-ES"/>
        </w:rPr>
        <w:t>Resumen de los presupuestos de las actividades</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bl>
      <w:tblPr>
        <w:tblStyle w:val="Tablaconcuadrcula"/>
        <w:tblW w:w="8494" w:type="dxa"/>
        <w:jc w:val="left"/>
        <w:tblInd w:w="0" w:type="dxa"/>
        <w:tblCellMar>
          <w:top w:w="0" w:type="dxa"/>
          <w:left w:w="108" w:type="dxa"/>
          <w:bottom w:w="0" w:type="dxa"/>
          <w:right w:w="108" w:type="dxa"/>
        </w:tblCellMar>
        <w:tblLook w:firstRow="1" w:noVBand="1" w:lastRow="0" w:firstColumn="1" w:lastColumn="0" w:noHBand="0" w:val="04a0"/>
      </w:tblPr>
      <w:tblGrid>
        <w:gridCol w:w="1098"/>
        <w:gridCol w:w="2324"/>
        <w:gridCol w:w="2485"/>
        <w:gridCol w:w="2586"/>
      </w:tblGrid>
      <w:tr>
        <w:trPr/>
        <w:tc>
          <w:tcPr>
            <w:tcW w:w="1098" w:type="dxa"/>
            <w:tcBorders/>
            <w:shd w:fill="auto" w:val="clear"/>
          </w:tcPr>
          <w:p>
            <w:pPr>
              <w:pStyle w:val="Normal"/>
              <w:spacing w:lineRule="auto" w:line="240" w:before="0" w:after="0"/>
              <w:rPr>
                <w:rFonts w:ascii="Noto Sans" w:hAnsi="Noto Sans" w:eastAsia="Times New Roman" w:cs="Times New Roman"/>
                <w:i/>
                <w:i/>
                <w:sz w:val="20"/>
                <w:szCs w:val="24"/>
                <w:lang w:eastAsia="ca-ES"/>
              </w:rPr>
            </w:pPr>
            <w:r>
              <w:rPr>
                <w:rFonts w:eastAsia="Times New Roman" w:cs="Times New Roman" w:ascii="Noto Sans" w:hAnsi="Noto Sans"/>
                <w:i/>
                <w:sz w:val="20"/>
                <w:szCs w:val="24"/>
                <w:lang w:eastAsia="ca-ES"/>
              </w:rPr>
              <w:t>N.º de la actividad</w:t>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eastAsia="ca-ES"/>
              </w:rPr>
              <w:t>Coste</w:t>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eastAsia="ca-ES"/>
              </w:rPr>
              <w:t>Ingresos</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808080" w:themeColor="background1" w:themeShade="80"/>
                <w:sz w:val="16"/>
                <w:szCs w:val="16"/>
                <w:lang w:eastAsia="ca-ES"/>
              </w:rPr>
              <w:t>[no provenientes de la subvención solicitada]</w:t>
            </w:r>
          </w:p>
        </w:tc>
        <w:tc>
          <w:tcPr>
            <w:tcW w:w="2586" w:type="dxa"/>
            <w:tcBorders/>
            <w:shd w:fill="auto" w:val="clear"/>
          </w:tcPr>
          <w:p>
            <w:pPr>
              <w:pStyle w:val="NormalWeb"/>
              <w:spacing w:lineRule="auto" w:line="240" w:before="0" w:after="0"/>
              <w:rPr>
                <w:lang w:val="es-ES"/>
              </w:rPr>
            </w:pPr>
            <w:r>
              <w:rPr>
                <w:rFonts w:ascii="Noto Sans" w:hAnsi="Noto Sans"/>
                <w:i/>
                <w:iCs/>
                <w:sz w:val="18"/>
                <w:szCs w:val="18"/>
                <w:lang w:val="es-ES"/>
              </w:rPr>
              <w:t>Importe solicitado a la Consejería de Presidencia y Administraciones Públicas</w:t>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8" w:type="dxa"/>
            <w:tcBorders/>
            <w:shd w:fill="auto" w:val="clear"/>
          </w:tcPr>
          <w:p>
            <w:pPr>
              <w:pStyle w:val="Normal"/>
              <w:spacing w:lineRule="auto" w:line="240" w:before="0" w:after="0"/>
              <w:jc w:val="center"/>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t>TOTAL</w:t>
            </w:r>
          </w:p>
          <w:p>
            <w:pPr>
              <w:pStyle w:val="Normal"/>
              <w:spacing w:lineRule="auto" w:line="240" w:before="0" w:after="0"/>
              <w:rPr>
                <w:rFonts w:ascii="Noto Sans" w:hAnsi="Noto Sans" w:eastAsia="Times New Roman" w:cs="Times New Roman"/>
                <w:sz w:val="14"/>
                <w:szCs w:val="14"/>
                <w:lang w:eastAsia="ca-ES"/>
              </w:rPr>
            </w:pPr>
            <w:r>
              <w:rPr>
                <w:rFonts w:eastAsia="Times New Roman" w:cs="Times New Roman" w:ascii="Noto Sans" w:hAnsi="Noto Sans"/>
                <w:sz w:val="14"/>
                <w:szCs w:val="14"/>
                <w:lang w:eastAsia="ca-ES"/>
              </w:rPr>
              <w:t>(suma de las actividades)</w:t>
            </w:r>
          </w:p>
        </w:tc>
        <w:tc>
          <w:tcPr>
            <w:tcW w:w="232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86"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bl>
    <w:p>
      <w:pPr>
        <w:pStyle w:val="Normal"/>
        <w:spacing w:lineRule="auto" w:line="240" w:before="0" w:after="0"/>
        <w:rPr>
          <w:rFonts w:ascii="Noto Sans" w:hAnsi="Noto Sans" w:eastAsia="Times New Roman" w:cs="Times New Roman"/>
          <w:szCs w:val="24"/>
          <w:lang w:eastAsia="ca-ES"/>
        </w:rPr>
      </w:pPr>
      <w:r>
        <w:rPr>
          <w:rFonts w:eastAsia="Times New Roman" w:cs="Times New Roman" w:ascii="Noto Sans" w:hAnsi="Noto Sans"/>
          <w:szCs w:val="24"/>
          <w:lang w:eastAsia="ca-ES"/>
        </w:rPr>
      </w:r>
    </w:p>
    <w:p>
      <w:pPr>
        <w:pStyle w:val="Normal"/>
        <w:spacing w:lineRule="auto" w:line="240" w:before="0" w:after="0"/>
        <w:rPr/>
      </w:pPr>
      <w:r>
        <w:rPr>
          <w:rFonts w:eastAsia="Times New Roman" w:cs="Times New Roman" w:ascii="Noto Sans" w:hAnsi="Noto Sans"/>
          <w:sz w:val="20"/>
          <w:szCs w:val="18"/>
          <w:lang w:eastAsia="ca-ES"/>
        </w:rPr>
        <w:t xml:space="preserve">* Los gastos de funcionamiento que forman parte del proyecto solo </w:t>
      </w:r>
      <w:r>
        <w:rPr>
          <w:rFonts w:eastAsia="Times New Roman" w:cs="Noto Sans" w:ascii="Noto Sans" w:hAnsi="Noto Sans"/>
          <w:sz w:val="20"/>
          <w:szCs w:val="18"/>
          <w:lang w:val="es-ES" w:eastAsia="es-ES"/>
        </w:rPr>
        <w:t>s</w:t>
      </w:r>
      <w:r>
        <w:rPr>
          <w:rFonts w:eastAsia="Times New Roman" w:cs="Noto Sans" w:ascii="Noto Sans" w:hAnsi="Noto Sans"/>
          <w:sz w:val="20"/>
          <w:szCs w:val="18"/>
          <w:lang w:val="es-ES" w:eastAsia="es-ES"/>
        </w:rPr>
        <w:t>on</w:t>
      </w:r>
      <w:r>
        <w:rPr>
          <w:rFonts w:eastAsia="Times New Roman" w:cs="Noto Sans" w:ascii="Noto Sans" w:hAnsi="Noto Sans"/>
          <w:sz w:val="20"/>
          <w:szCs w:val="18"/>
          <w:lang w:val="es-ES" w:eastAsia="es-ES"/>
        </w:rPr>
        <w:t xml:space="preserve"> subvencionables siempre que sean indispensables para preparar o ejecutar el proyecto de manera adecuada y estén relacionados directamente con la actividad subvencionada</w:t>
      </w:r>
      <w:r>
        <w:rPr>
          <w:rFonts w:eastAsia="Times New Roman" w:cs="Times New Roman" w:ascii="Noto Sans" w:hAnsi="Noto Sans"/>
          <w:sz w:val="20"/>
          <w:szCs w:val="18"/>
          <w:lang w:eastAsia="ca-ES"/>
        </w:rPr>
        <w:t>.</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bl>
      <w:tblPr>
        <w:tblStyle w:val="Tablaconcuadrcula"/>
        <w:tblW w:w="8494" w:type="dxa"/>
        <w:jc w:val="left"/>
        <w:tblInd w:w="0" w:type="dxa"/>
        <w:tblCellMar>
          <w:top w:w="0" w:type="dxa"/>
          <w:left w:w="108" w:type="dxa"/>
          <w:bottom w:w="0" w:type="dxa"/>
          <w:right w:w="108" w:type="dxa"/>
        </w:tblCellMar>
        <w:tblLook w:firstRow="1" w:noVBand="1" w:lastRow="0" w:firstColumn="1" w:lastColumn="0" w:noHBand="0" w:val="04a0"/>
      </w:tblPr>
      <w:tblGrid>
        <w:gridCol w:w="2835"/>
        <w:gridCol w:w="2810"/>
        <w:gridCol w:w="2849"/>
      </w:tblGrid>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eastAsia="ca-ES"/>
              </w:rPr>
              <w:t>Tipo de gasto de funcionamiento</w:t>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eastAsia="ca-ES"/>
              </w:rPr>
              <w:t>Coste</w:t>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eastAsia="ca-ES"/>
              </w:rPr>
              <w:t>Importe solicitado a la Consejería de Presidencia y Administraciones Públicas</w:t>
            </w:r>
          </w:p>
        </w:tc>
      </w:tr>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2835"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10"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849"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bl>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bl>
      <w:tblPr>
        <w:tblStyle w:val="Tablaconcuadrcula"/>
        <w:tblW w:w="8931" w:type="dxa"/>
        <w:jc w:val="left"/>
        <w:tblInd w:w="0" w:type="dxa"/>
        <w:tblCellMar>
          <w:top w:w="0" w:type="dxa"/>
          <w:left w:w="108" w:type="dxa"/>
          <w:bottom w:w="0" w:type="dxa"/>
          <w:right w:w="108" w:type="dxa"/>
        </w:tblCellMar>
        <w:tblLook w:firstRow="1" w:noVBand="1" w:lastRow="0" w:firstColumn="1" w:lastColumn="0" w:noHBand="0" w:val="04a0"/>
      </w:tblPr>
      <w:tblGrid>
        <w:gridCol w:w="4361"/>
        <w:gridCol w:w="4569"/>
      </w:tblGrid>
      <w:tr>
        <w:trPr/>
        <w:tc>
          <w:tcPr>
            <w:tcW w:w="4361"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Times New Roman" w:cs="Times New Roman"/>
                <w:color w:val="595959"/>
                <w:lang w:eastAsia="ca-ES"/>
              </w:rPr>
            </w:pPr>
            <w:r>
              <w:rPr>
                <w:rFonts w:eastAsia="Times New Roman" w:cs="Times New Roman" w:ascii="Noto Sans" w:hAnsi="Noto Sans"/>
                <w:color w:val="595959"/>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595959"/>
                <w:lang w:eastAsia="ca-ES"/>
              </w:rPr>
              <w:t>____________</w:t>
            </w:r>
            <w:r>
              <w:rPr>
                <w:rFonts w:eastAsia="Times New Roman" w:cs="Times New Roman" w:ascii="Noto Sans" w:hAnsi="Noto Sans"/>
                <w:color w:val="000000"/>
                <w:lang w:eastAsia="ca-ES"/>
              </w:rPr>
              <w:t xml:space="preserve">, </w:t>
            </w:r>
            <w:r>
              <w:rPr>
                <w:rFonts w:eastAsia="Times New Roman" w:cs="Times New Roman" w:ascii="Noto Sans" w:hAnsi="Noto Sans"/>
                <w:color w:val="595959"/>
                <w:lang w:eastAsia="ca-ES"/>
              </w:rPr>
              <w:t>___</w:t>
            </w:r>
            <w:r>
              <w:rPr>
                <w:rFonts w:eastAsia="Times New Roman" w:cs="Times New Roman" w:ascii="Noto Sans" w:hAnsi="Noto Sans"/>
                <w:color w:val="000000"/>
                <w:lang w:eastAsia="ca-ES"/>
              </w:rPr>
              <w:t xml:space="preserve"> de </w:t>
            </w:r>
            <w:r>
              <w:rPr>
                <w:rFonts w:eastAsia="Times New Roman" w:cs="Times New Roman" w:ascii="Noto Sans" w:hAnsi="Noto Sans"/>
                <w:color w:val="595959"/>
                <w:lang w:eastAsia="ca-ES"/>
              </w:rPr>
              <w:t>_____________</w:t>
            </w:r>
            <w:r>
              <w:rPr>
                <w:rFonts w:eastAsia="Times New Roman" w:cs="Times New Roman" w:ascii="Noto Sans" w:hAnsi="Noto Sans"/>
                <w:color w:val="000000"/>
                <w:lang w:eastAsia="ca-ES"/>
              </w:rPr>
              <w:t xml:space="preserve"> de 2024</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000000"/>
                <w:lang w:eastAsia="ca-ES"/>
              </w:rPr>
              <w:t>El tesorero / La tesorera de la entidad</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16"/>
                <w:szCs w:val="16"/>
                <w:lang w:eastAsia="ca-ES"/>
              </w:rPr>
              <w:t>[rúbrica]</w:t>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24"/>
                <w:szCs w:val="24"/>
                <w:lang w:eastAsia="ca-ES"/>
              </w:rPr>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24"/>
                <w:szCs w:val="24"/>
                <w:lang w:eastAsia="ca-ES"/>
              </w:rPr>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20"/>
                <w:szCs w:val="20"/>
                <w:lang w:eastAsia="ca-ES"/>
              </w:rPr>
              <w:t>____________________________________________</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808080" w:themeColor="background1" w:themeShade="80"/>
                <w:sz w:val="16"/>
                <w:szCs w:val="16"/>
                <w:lang w:eastAsia="ca-ES"/>
              </w:rPr>
              <w:t>[nombre y apellidos]</w:t>
            </w:r>
          </w:p>
        </w:tc>
        <w:tc>
          <w:tcPr>
            <w:tcW w:w="4569"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595959"/>
                <w:lang w:eastAsia="ca-ES"/>
              </w:rPr>
              <w:t>____________</w:t>
            </w:r>
            <w:r>
              <w:rPr>
                <w:rFonts w:eastAsia="Times New Roman" w:cs="Times New Roman" w:ascii="Noto Sans" w:hAnsi="Noto Sans"/>
                <w:color w:val="000000"/>
                <w:lang w:eastAsia="ca-ES"/>
              </w:rPr>
              <w:t xml:space="preserve">, </w:t>
            </w:r>
            <w:r>
              <w:rPr>
                <w:rFonts w:eastAsia="Times New Roman" w:cs="Times New Roman" w:ascii="Noto Sans" w:hAnsi="Noto Sans"/>
                <w:color w:val="595959"/>
                <w:lang w:eastAsia="ca-ES"/>
              </w:rPr>
              <w:t>___</w:t>
            </w:r>
            <w:r>
              <w:rPr>
                <w:rFonts w:eastAsia="Times New Roman" w:cs="Times New Roman" w:ascii="Noto Sans" w:hAnsi="Noto Sans"/>
                <w:color w:val="000000"/>
                <w:lang w:eastAsia="ca-ES"/>
              </w:rPr>
              <w:t xml:space="preserve"> de </w:t>
            </w:r>
            <w:r>
              <w:rPr>
                <w:rFonts w:eastAsia="Times New Roman" w:cs="Times New Roman" w:ascii="Noto Sans" w:hAnsi="Noto Sans"/>
                <w:color w:val="595959"/>
                <w:lang w:eastAsia="ca-ES"/>
              </w:rPr>
              <w:t>_____________</w:t>
            </w:r>
            <w:r>
              <w:rPr>
                <w:rFonts w:eastAsia="Times New Roman" w:cs="Times New Roman" w:ascii="Noto Sans" w:hAnsi="Noto Sans"/>
                <w:color w:val="000000"/>
                <w:lang w:eastAsia="ca-ES"/>
              </w:rPr>
              <w:t xml:space="preserve"> de 2024</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pacing w:val="-2"/>
                <w:sz w:val="24"/>
                <w:szCs w:val="24"/>
                <w:lang w:eastAsia="ca-ES"/>
              </w:rPr>
            </w:pPr>
            <w:r>
              <w:rPr>
                <w:rFonts w:eastAsia="Times New Roman" w:cs="Times New Roman" w:ascii="Noto Sans" w:hAnsi="Noto Sans"/>
                <w:color w:val="000000"/>
                <w:spacing w:val="-2"/>
                <w:lang w:eastAsia="ca-ES"/>
              </w:rPr>
              <w:t>El presidente / La presidenta de la entidad</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16"/>
                <w:szCs w:val="16"/>
                <w:lang w:eastAsia="ca-ES"/>
              </w:rPr>
              <w:t>[rúbrica]</w:t>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24"/>
                <w:szCs w:val="24"/>
                <w:lang w:eastAsia="ca-ES"/>
              </w:rPr>
            </w:r>
          </w:p>
          <w:p>
            <w:pPr>
              <w:pStyle w:val="Normal"/>
              <w:spacing w:lineRule="auto" w:line="240" w:before="0" w:after="0"/>
              <w:rPr>
                <w:rFonts w:ascii="Noto Sans" w:hAnsi="Noto Sans" w:eastAsia="Times New Roman" w:cs="Times New Roman"/>
                <w:color w:val="808080" w:themeColor="background1" w:themeShade="80"/>
                <w:sz w:val="20"/>
                <w:szCs w:val="20"/>
                <w:lang w:eastAsia="ca-ES"/>
              </w:rPr>
            </w:pPr>
            <w:r>
              <w:rPr>
                <w:rFonts w:eastAsia="Times New Roman" w:cs="Times New Roman" w:ascii="Noto Sans" w:hAnsi="Noto Sans"/>
                <w:color w:val="808080" w:themeColor="background1" w:themeShade="80"/>
                <w:sz w:val="20"/>
                <w:szCs w:val="20"/>
                <w:lang w:eastAsia="ca-ES"/>
              </w:rPr>
            </w:r>
          </w:p>
          <w:p>
            <w:pPr>
              <w:pStyle w:val="Normal"/>
              <w:spacing w:lineRule="auto" w:line="240" w:before="0" w:after="0"/>
              <w:rPr>
                <w:rFonts w:ascii="Noto Sans" w:hAnsi="Noto Sans" w:eastAsia="Times New Roman" w:cs="Times New Roman"/>
                <w:color w:val="808080" w:themeColor="background1" w:themeShade="80"/>
                <w:sz w:val="24"/>
                <w:szCs w:val="24"/>
                <w:lang w:eastAsia="ca-ES"/>
              </w:rPr>
            </w:pPr>
            <w:r>
              <w:rPr>
                <w:rFonts w:eastAsia="Times New Roman" w:cs="Times New Roman" w:ascii="Noto Sans" w:hAnsi="Noto Sans"/>
                <w:color w:val="808080" w:themeColor="background1" w:themeShade="80"/>
                <w:sz w:val="20"/>
                <w:szCs w:val="20"/>
                <w:lang w:eastAsia="ca-ES"/>
              </w:rPr>
              <w:t>__________________________________________</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808080" w:themeColor="background1" w:themeShade="80"/>
                <w:sz w:val="16"/>
                <w:szCs w:val="16"/>
                <w:lang w:eastAsia="ca-ES"/>
              </w:rPr>
              <w:t>[nombre y apellidos]</w:t>
            </w:r>
          </w:p>
        </w:tc>
      </w:tr>
    </w:tbl>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p>
      <w:pPr>
        <w:pStyle w:val="Normal"/>
        <w:rPr>
          <w:rFonts w:ascii="Noto Sans" w:hAnsi="Noto Sans" w:eastAsia="Times New Roman" w:cs="Times New Roman"/>
          <w:b/>
          <w:b/>
          <w:bCs/>
          <w:smallCaps/>
          <w:color w:val="004B99"/>
          <w:lang w:eastAsia="ca-ES"/>
        </w:rPr>
      </w:pPr>
      <w:r>
        <w:rPr>
          <w:rFonts w:eastAsia="Times New Roman" w:cs="Times New Roman" w:ascii="Noto Sans" w:hAnsi="Noto Sans"/>
          <w:b/>
          <w:bCs/>
          <w:smallCaps/>
          <w:color w:val="004B99"/>
          <w:lang w:eastAsia="ca-ES"/>
        </w:rPr>
      </w:r>
      <w:r>
        <w:br w:type="page"/>
      </w:r>
    </w:p>
    <w:p>
      <w:pPr>
        <w:pStyle w:val="NormalWeb"/>
        <w:spacing w:lineRule="auto" w:line="240" w:before="0" w:after="0"/>
        <w:rPr>
          <w:lang w:val="es-ES"/>
        </w:rPr>
      </w:pPr>
      <w:r>
        <w:rPr>
          <w:rFonts w:ascii="Noto Sans" w:hAnsi="Noto Sans"/>
          <w:b/>
          <w:bCs/>
          <w:smallCaps/>
          <w:color w:val="004B99"/>
          <w:sz w:val="22"/>
          <w:szCs w:val="22"/>
          <w:lang w:val="es-ES"/>
        </w:rPr>
        <w:t>Recordatorio de las obligaciones para los beneficiarios de una subvención</w:t>
      </w:r>
    </w:p>
    <w:p>
      <w:pPr>
        <w:pStyle w:val="NormalWeb"/>
        <w:spacing w:lineRule="auto" w:line="240" w:beforeAutospacing="0" w:before="0" w:after="0"/>
        <w:rPr>
          <w:lang w:val="es-ES"/>
        </w:rPr>
      </w:pPr>
      <w:r>
        <w:rPr>
          <w:lang w:val="es-ES"/>
        </w:rPr>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t>Cualquier alteración de las condiciones tenidas en cuenta a la hora de conceder la subvención y, en todo caso, la obtención concurrente de subvenciones o ayudas otorgadas por otras administraciones o entes públicos o privados, estatales o internacionales, podrá dar lugar a la modificación de la resolución de concesión.</w:t>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 xml:space="preserve">El importe de la subvención que se pueda conceder en ningún caso podrá ser de una cuantía que, aisladamente o en concurrencia con subvenciones o ayudas de otras </w:t>
      </w:r>
      <w:r>
        <w:rPr>
          <w:rFonts w:eastAsia="Times New Roman" w:cs="Times New Roman" w:ascii="Noto Sans" w:hAnsi="Noto Sans"/>
          <w:sz w:val="20"/>
          <w:szCs w:val="20"/>
          <w:lang w:eastAsia="ca-ES"/>
        </w:rPr>
        <w:t>administraciones</w:t>
      </w:r>
      <w:r>
        <w:rPr>
          <w:rFonts w:ascii="Noto Sans" w:hAnsi="Noto Sans"/>
          <w:sz w:val="20"/>
          <w:szCs w:val="20"/>
        </w:rPr>
        <w:t xml:space="preserve"> o entes públicos o privados, estatales o internacionales, supere el coste de la actividad que tiene que realizar el beneficiario.</w:t>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 xml:space="preserve">Cuando, además de financiarse con la subvención, las actividades se hayan financiado con fondos propios o con otras subvenciones o recursos, en la cuenta justificativa deberá acreditarse el importe, la procedencia y la aplicación de estos fondos a las </w:t>
      </w:r>
      <w:r>
        <w:rPr>
          <w:rFonts w:eastAsia="Times New Roman" w:cs="Times New Roman" w:ascii="Noto Sans" w:hAnsi="Noto Sans"/>
          <w:sz w:val="20"/>
          <w:szCs w:val="20"/>
          <w:lang w:eastAsia="ca-ES"/>
        </w:rPr>
        <w:t>actividades</w:t>
      </w:r>
      <w:r>
        <w:rPr>
          <w:rFonts w:ascii="Noto Sans" w:hAnsi="Noto Sans"/>
          <w:sz w:val="20"/>
          <w:szCs w:val="20"/>
        </w:rPr>
        <w:t xml:space="preserve"> subvencionadas.</w:t>
      </w:r>
      <w:r>
        <w:rPr>
          <w:rStyle w:val="Ancladenotaalpie"/>
          <w:rStyle w:val="Ancladenotaalpie"/>
          <w:rFonts w:ascii="Noto Sans" w:hAnsi="Noto Sans"/>
          <w:sz w:val="20"/>
          <w:szCs w:val="20"/>
        </w:rPr>
        <w:footnoteReference w:id="2"/>
      </w:r>
      <w:r>
        <w:rPr/>
        <w:t xml:space="preserve"> </w:t>
      </w:r>
    </w:p>
    <w:p>
      <w:pPr>
        <w:pStyle w:val="ListParagraph"/>
        <w:numPr>
          <w:ilvl w:val="0"/>
          <w:numId w:val="3"/>
        </w:numPr>
        <w:tabs>
          <w:tab w:val="clear" w:pos="708"/>
        </w:tabs>
        <w:spacing w:lineRule="auto" w:line="240" w:before="0" w:after="120"/>
        <w:ind w:left="425" w:hanging="425"/>
        <w:contextualSpacing/>
        <w:rPr/>
      </w:pPr>
      <w:r>
        <w:rPr>
          <w:rFonts w:ascii="Noto Sans" w:hAnsi="Noto Sans"/>
          <w:color w:val="000000"/>
          <w:sz w:val="20"/>
          <w:szCs w:val="20"/>
        </w:rPr>
        <w:t xml:space="preserve">Cuando el </w:t>
      </w:r>
      <w:r>
        <w:rPr>
          <w:rFonts w:eastAsia="Times New Roman" w:cs="Times New Roman" w:ascii="Noto Sans" w:hAnsi="Noto Sans"/>
          <w:sz w:val="20"/>
          <w:szCs w:val="20"/>
          <w:lang w:eastAsia="ca-ES"/>
        </w:rPr>
        <w:t>importe</w:t>
      </w:r>
      <w:r>
        <w:rPr>
          <w:rFonts w:ascii="Noto Sans" w:hAnsi="Noto Sans"/>
          <w:color w:val="000000"/>
          <w:sz w:val="20"/>
          <w:szCs w:val="20"/>
        </w:rPr>
        <w:t xml:space="preserve"> del gasto subvencionable supere las cuantías establecidas en la legislación estatal en materia de contratos del sector público para los contratos menores, el beneficiario tiene que solicitar la oferta de, como mínimo, tres proveedores diferentes, con carácter previo a la contracción del compromiso para la prestación del servicio o la entrega del bien.</w:t>
      </w:r>
      <w:r>
        <w:rPr>
          <w:rStyle w:val="Ancladenotaalpie"/>
          <w:rStyle w:val="Ancladenotaalpie"/>
          <w:rFonts w:ascii="Noto Sans" w:hAnsi="Noto Sans"/>
          <w:color w:val="000000"/>
          <w:sz w:val="20"/>
          <w:szCs w:val="20"/>
        </w:rPr>
        <w:footnoteReference w:id="3"/>
      </w:r>
      <w:r>
        <w:rPr>
          <w:rFonts w:ascii="Noto Sans" w:hAnsi="Noto Sans"/>
          <w:color w:val="000000"/>
          <w:sz w:val="20"/>
          <w:szCs w:val="20"/>
        </w:rPr>
        <w:t xml:space="preserve"> La elección entre las ofertas presentadas —que deben aportarse en la justificación o, si procede, en la solicitud de la subvención— se hará de acuerdo con criterios de eficiencia y economía, y deberá justificarse expresamente en un informe cuando no recaiga en la propuesta económica más ventajosa.</w:t>
      </w:r>
      <w:r>
        <w:rPr>
          <w:rStyle w:val="Ancladenotaalpie"/>
          <w:rStyle w:val="Ancladenotaalpie"/>
          <w:rFonts w:ascii="Noto Sans" w:hAnsi="Noto Sans"/>
          <w:color w:val="000000"/>
          <w:sz w:val="20"/>
          <w:szCs w:val="20"/>
        </w:rPr>
        <w:footnoteReference w:id="4"/>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El benefi</w:t>
      </w:r>
      <w:r>
        <w:rPr>
          <w:rFonts w:ascii="Noto Sans" w:hAnsi="Noto Sans"/>
          <w:color w:val="000000"/>
          <w:sz w:val="20"/>
          <w:szCs w:val="20"/>
        </w:rPr>
        <w:t xml:space="preserve">ciario únicamente puede subcontratar la actividad subvencionada, total o parcialmente, hasta un porcentaje que no supere el 50 % del importe de la actividad, sin perjuicio de que pueda solicitar subcontratar por un porcentaje superior, lo que queda a criterio de la Administración que concede la ayuda. En ningún caso se </w:t>
      </w:r>
      <w:r>
        <w:rPr>
          <w:rFonts w:eastAsia="Times New Roman" w:cs="Times New Roman" w:ascii="Noto Sans" w:hAnsi="Noto Sans"/>
          <w:sz w:val="20"/>
          <w:szCs w:val="20"/>
          <w:lang w:eastAsia="ca-ES"/>
        </w:rPr>
        <w:t>podrán</w:t>
      </w:r>
      <w:r>
        <w:rPr>
          <w:rFonts w:ascii="Noto Sans" w:hAnsi="Noto Sans"/>
          <w:color w:val="000000"/>
          <w:sz w:val="20"/>
          <w:szCs w:val="20"/>
        </w:rPr>
        <w:t xml:space="preserve"> subcontratar actividades que, a pesar de aumentar el coste de la actividad subvencionada, no aporten valor añadido al contenido de la actividad</w:t>
      </w:r>
      <w:bookmarkStart w:id="0" w:name="sdfootnote4anc"/>
      <w:bookmarkEnd w:id="0"/>
      <w:r>
        <w:rPr>
          <w:rFonts w:ascii="Noto Sans" w:hAnsi="Noto Sans"/>
          <w:color w:val="000000"/>
          <w:sz w:val="20"/>
          <w:szCs w:val="20"/>
        </w:rPr>
        <w:t>.</w:t>
      </w:r>
      <w:r>
        <w:rPr>
          <w:rStyle w:val="Ancladenotaalpie"/>
          <w:rStyle w:val="Ancladenotaalpie"/>
          <w:rFonts w:ascii="Noto Sans" w:hAnsi="Noto Sans"/>
          <w:color w:val="000000"/>
          <w:sz w:val="20"/>
          <w:szCs w:val="20"/>
        </w:rPr>
        <w:footnoteReference w:id="5"/>
      </w:r>
    </w:p>
    <w:p>
      <w:pPr>
        <w:pStyle w:val="ListParagraph"/>
        <w:numPr>
          <w:ilvl w:val="0"/>
          <w:numId w:val="3"/>
        </w:numPr>
        <w:tabs>
          <w:tab w:val="clear" w:pos="708"/>
        </w:tabs>
        <w:spacing w:lineRule="auto" w:line="240" w:before="0" w:after="120"/>
        <w:ind w:left="425" w:hanging="425"/>
        <w:contextualSpacing/>
        <w:rPr/>
      </w:pPr>
      <w:r>
        <w:rPr>
          <w:rFonts w:ascii="Noto Sans" w:hAnsi="Noto Sans"/>
          <w:color w:val="000000"/>
          <w:sz w:val="20"/>
          <w:szCs w:val="20"/>
        </w:rPr>
        <w:t xml:space="preserve">Cuando la </w:t>
      </w:r>
      <w:r>
        <w:rPr>
          <w:rFonts w:eastAsia="Times New Roman" w:cs="Times New Roman" w:ascii="Noto Sans" w:hAnsi="Noto Sans"/>
          <w:sz w:val="20"/>
          <w:szCs w:val="20"/>
          <w:lang w:eastAsia="ca-ES"/>
        </w:rPr>
        <w:t>actividad</w:t>
      </w:r>
      <w:r>
        <w:rPr>
          <w:rFonts w:ascii="Noto Sans" w:hAnsi="Noto Sans"/>
          <w:color w:val="000000"/>
          <w:sz w:val="20"/>
          <w:szCs w:val="20"/>
        </w:rPr>
        <w:t xml:space="preserve"> concertada con terceros supere el 20 % del importe de la subvención y este importe sea superior a 60.000,00 €, la subcontratación está sometida al cumplimiento de los siguientes requisitos:</w:t>
      </w:r>
    </w:p>
    <w:p>
      <w:pPr>
        <w:pStyle w:val="Normal"/>
        <w:numPr>
          <w:ilvl w:val="1"/>
          <w:numId w:val="4"/>
        </w:numPr>
        <w:spacing w:lineRule="auto" w:line="240" w:before="0" w:after="0"/>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Que el contrato se formalice por escrito.</w:t>
      </w:r>
    </w:p>
    <w:p>
      <w:pPr>
        <w:pStyle w:val="Normal"/>
        <w:numPr>
          <w:ilvl w:val="1"/>
          <w:numId w:val="4"/>
        </w:numPr>
        <w:spacing w:lineRule="auto" w:line="240" w:before="0" w:after="120"/>
        <w:ind w:left="1434" w:hanging="357"/>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Que el organismo que concede la subvención autorice previamente su formalización.</w:t>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El beneficiario no puede concertar la ejecución total o parcial de las actividades subvencionadas:</w:t>
      </w:r>
    </w:p>
    <w:p>
      <w:pPr>
        <w:pStyle w:val="Normal"/>
        <w:numPr>
          <w:ilvl w:val="1"/>
          <w:numId w:val="1"/>
        </w:numPr>
        <w:tabs>
          <w:tab w:val="clear" w:pos="708"/>
        </w:tabs>
        <w:spacing w:lineRule="auto" w:line="240" w:before="0" w:after="0"/>
        <w:ind w:left="851" w:hanging="305"/>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Con personas o entidades sometidas a alguna de las prohibiciones del artículo 10 del Texto refundido de la Ley de subvenciones, aprobado por el Decreto Legislativo 2/2005, de 28 de diciembre.</w:t>
      </w:r>
    </w:p>
    <w:p>
      <w:pPr>
        <w:pStyle w:val="Normal"/>
        <w:numPr>
          <w:ilvl w:val="1"/>
          <w:numId w:val="1"/>
        </w:numPr>
        <w:tabs>
          <w:tab w:val="clear" w:pos="708"/>
        </w:tabs>
        <w:spacing w:lineRule="auto" w:line="240" w:before="0" w:after="0"/>
        <w:ind w:left="851" w:hanging="305"/>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Con personas o entidades que hayan percibido otras subvenciones para llevar a cabo la actividad objeto de contratación.</w:t>
      </w:r>
    </w:p>
    <w:p>
      <w:pPr>
        <w:pStyle w:val="Normal"/>
        <w:numPr>
          <w:ilvl w:val="1"/>
          <w:numId w:val="1"/>
        </w:numPr>
        <w:tabs>
          <w:tab w:val="clear" w:pos="708"/>
        </w:tabs>
        <w:spacing w:lineRule="auto" w:line="240" w:before="0" w:after="0"/>
        <w:ind w:left="851" w:hanging="305"/>
        <w:rPr/>
      </w:pPr>
      <w:r>
        <w:rPr>
          <w:rFonts w:eastAsia="Times New Roman" w:cs="Times New Roman" w:ascii="Noto Sans" w:hAnsi="Noto Sans"/>
          <w:color w:val="000000"/>
          <w:sz w:val="20"/>
          <w:szCs w:val="20"/>
          <w:lang w:eastAsia="ca-ES"/>
        </w:rPr>
        <w:t>Con intermediarios o asesores los pagos a los cuales se definan como un porcentaje del coste total de la operación, salvo que el pago esté justificado</w:t>
      </w:r>
      <w:r>
        <w:rPr>
          <w:rFonts w:ascii="Noto Sans" w:hAnsi="Noto Sans"/>
          <w:color w:val="000000"/>
          <w:sz w:val="20"/>
          <w:szCs w:val="20"/>
        </w:rPr>
        <w:t xml:space="preserve"> con referencia al valor de mercado del trabajo efectuado o de los servicios prestados.</w:t>
      </w:r>
    </w:p>
    <w:p>
      <w:pPr>
        <w:pStyle w:val="Normal"/>
        <w:numPr>
          <w:ilvl w:val="1"/>
          <w:numId w:val="1"/>
        </w:numPr>
        <w:tabs>
          <w:tab w:val="clear" w:pos="708"/>
        </w:tabs>
        <w:spacing w:lineRule="auto" w:line="240" w:before="0" w:after="0"/>
        <w:ind w:left="851" w:hanging="305"/>
        <w:rPr/>
      </w:pPr>
      <w:r>
        <w:rPr>
          <w:rFonts w:ascii="Noto Sans" w:hAnsi="Noto Sans"/>
          <w:color w:val="000000"/>
          <w:sz w:val="20"/>
          <w:szCs w:val="20"/>
        </w:rPr>
        <w:t xml:space="preserve">Con personas o entidades vinculadas con el beneficiario, salvo que la contratación se efectúe de acuerdo con las condiciones normales de </w:t>
      </w:r>
      <w:r>
        <w:rPr>
          <w:rFonts w:eastAsia="Times New Roman" w:cs="Times New Roman" w:ascii="Noto Sans" w:hAnsi="Noto Sans"/>
          <w:color w:val="000000"/>
          <w:sz w:val="20"/>
          <w:szCs w:val="20"/>
          <w:lang w:eastAsia="ca-ES"/>
        </w:rPr>
        <w:t>mercado</w:t>
      </w:r>
      <w:r>
        <w:rPr>
          <w:rFonts w:ascii="Noto Sans" w:hAnsi="Noto Sans"/>
          <w:color w:val="000000"/>
          <w:sz w:val="20"/>
          <w:szCs w:val="20"/>
        </w:rPr>
        <w:t xml:space="preserve"> y se obtenga la autorización previa del órgano que concede la subvención.</w:t>
      </w:r>
    </w:p>
    <w:p>
      <w:pPr>
        <w:pStyle w:val="Normal"/>
        <w:numPr>
          <w:ilvl w:val="1"/>
          <w:numId w:val="1"/>
        </w:numPr>
        <w:tabs>
          <w:tab w:val="clear" w:pos="708"/>
        </w:tabs>
        <w:spacing w:lineRule="auto" w:line="240" w:before="0" w:after="120"/>
        <w:ind w:left="850" w:hanging="306"/>
        <w:rPr/>
      </w:pPr>
      <w:r>
        <w:rPr>
          <w:rFonts w:ascii="Noto Sans" w:hAnsi="Noto Sans"/>
          <w:color w:val="000000"/>
          <w:sz w:val="20"/>
          <w:szCs w:val="20"/>
        </w:rPr>
        <w:t xml:space="preserve">Con personas o entidades que hayan solicitado una ayuda o subvención en la </w:t>
      </w:r>
      <w:r>
        <w:rPr>
          <w:rFonts w:eastAsia="Times New Roman" w:cs="Times New Roman" w:ascii="Noto Sans" w:hAnsi="Noto Sans"/>
          <w:color w:val="000000"/>
          <w:sz w:val="20"/>
          <w:szCs w:val="20"/>
          <w:lang w:eastAsia="ca-ES"/>
        </w:rPr>
        <w:t>misma</w:t>
      </w:r>
      <w:r>
        <w:rPr>
          <w:rFonts w:ascii="Noto Sans" w:hAnsi="Noto Sans"/>
          <w:color w:val="000000"/>
          <w:sz w:val="20"/>
          <w:szCs w:val="20"/>
        </w:rPr>
        <w:t xml:space="preserve"> convocatoria y programa y no la hayan obtenido porque no cumplen los requisitos o no han logrado la valoración suficiente.</w:t>
      </w:r>
    </w:p>
    <w:p>
      <w:pPr>
        <w:pStyle w:val="ListParagraph"/>
        <w:numPr>
          <w:ilvl w:val="0"/>
          <w:numId w:val="3"/>
        </w:numPr>
        <w:tabs>
          <w:tab w:val="clear" w:pos="708"/>
        </w:tabs>
        <w:spacing w:lineRule="auto" w:line="240" w:before="0" w:after="120"/>
        <w:ind w:left="425" w:hanging="425"/>
        <w:contextualSpacing/>
        <w:rPr>
          <w:sz w:val="20"/>
          <w:szCs w:val="20"/>
        </w:rPr>
      </w:pPr>
      <w:r>
        <w:rPr>
          <w:rFonts w:ascii="Noto Sans" w:hAnsi="Noto Sans"/>
          <w:sz w:val="20"/>
          <w:szCs w:val="20"/>
        </w:rPr>
        <w:t>El incumplimiento de sus obligaciones como beneficiario de la subvención podrá implicar, además del reintegro de las cantidades recibidas con el correspondiente interés de demora, la comisión de una infracción y la imposición de una sanción administrativa.</w:t>
      </w:r>
      <w:r>
        <w:rPr>
          <w:rStyle w:val="Ancladenotaalpie"/>
          <w:rStyle w:val="Ancladenotaalpie"/>
          <w:rFonts w:ascii="Noto Sans" w:hAnsi="Noto Sans"/>
          <w:sz w:val="20"/>
          <w:szCs w:val="20"/>
        </w:rPr>
        <w:footnoteReference w:id="6"/>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 xml:space="preserve">La </w:t>
      </w:r>
      <w:r>
        <w:rPr>
          <w:rFonts w:eastAsia="Times New Roman" w:cs="Times New Roman" w:ascii="Noto Sans" w:hAnsi="Noto Sans"/>
          <w:sz w:val="20"/>
          <w:szCs w:val="20"/>
          <w:lang w:eastAsia="ca-ES"/>
        </w:rPr>
        <w:t>Administración</w:t>
      </w:r>
      <w:r>
        <w:rPr>
          <w:rFonts w:ascii="Noto Sans" w:hAnsi="Noto Sans"/>
          <w:sz w:val="20"/>
          <w:szCs w:val="20"/>
        </w:rPr>
        <w:t xml:space="preserve"> autonómica comprobará de oficio que el beneficiario de la subvención esté al corriente de sus obligaciones tributarias y con Seguridad Social ante la Administración General del Estado, y de sus obligaciones tributarias ante la hacienda autonómica, en conformidad con el artículo 11.</w:t>
      </w:r>
      <w:r>
        <w:rPr>
          <w:rFonts w:ascii="Noto Sans" w:hAnsi="Noto Sans"/>
          <w:i/>
          <w:iCs/>
          <w:sz w:val="20"/>
          <w:szCs w:val="20"/>
        </w:rPr>
        <w:t>f)</w:t>
      </w:r>
      <w:r>
        <w:rPr>
          <w:rFonts w:ascii="Noto Sans" w:hAnsi="Noto Sans"/>
          <w:sz w:val="20"/>
          <w:szCs w:val="20"/>
        </w:rPr>
        <w:t xml:space="preserve"> del Texto refundido de la Ley de subvenciones, aprobado por el Decreto Legislativo 2/2005, de 28 de diciembre. En el supuesto de que el beneficiario se oponga expresamente a que la Administración realice esta comprobación, él mismo tiene que acreditar que está al corriente de dichas obligaciones.</w:t>
      </w:r>
    </w:p>
    <w:p>
      <w:pPr>
        <w:pStyle w:val="ListParagraph"/>
        <w:numPr>
          <w:ilvl w:val="0"/>
          <w:numId w:val="3"/>
        </w:numPr>
        <w:tabs>
          <w:tab w:val="clear" w:pos="708"/>
        </w:tabs>
        <w:spacing w:lineRule="auto" w:line="240" w:before="0" w:after="120"/>
        <w:ind w:left="425" w:hanging="425"/>
        <w:contextualSpacing/>
        <w:rPr/>
      </w:pPr>
      <w:r>
        <w:rPr>
          <w:rFonts w:ascii="Noto Sans" w:hAnsi="Noto Sans"/>
          <w:color w:val="000000"/>
          <w:sz w:val="20"/>
          <w:szCs w:val="20"/>
        </w:rPr>
        <w:t xml:space="preserve">A efectos de justificar </w:t>
      </w:r>
      <w:r>
        <w:rPr>
          <w:rFonts w:ascii="Noto Sans" w:hAnsi="Noto Sans"/>
          <w:sz w:val="20"/>
          <w:szCs w:val="20"/>
        </w:rPr>
        <w:t>los gastos</w:t>
      </w:r>
      <w:r>
        <w:rPr>
          <w:rFonts w:ascii="Noto Sans" w:hAnsi="Noto Sans"/>
          <w:color w:val="000000"/>
          <w:sz w:val="20"/>
          <w:szCs w:val="20"/>
        </w:rPr>
        <w:t xml:space="preserve">, las facturas y los documentos para acreditarlos deben cumplir los </w:t>
      </w:r>
      <w:r>
        <w:rPr>
          <w:rFonts w:eastAsia="Times New Roman" w:cs="Times New Roman" w:ascii="Noto Sans" w:hAnsi="Noto Sans"/>
          <w:sz w:val="20"/>
          <w:szCs w:val="20"/>
          <w:lang w:eastAsia="ca-ES"/>
        </w:rPr>
        <w:t>siguientes</w:t>
      </w:r>
      <w:r>
        <w:rPr>
          <w:rFonts w:ascii="Noto Sans" w:hAnsi="Noto Sans"/>
          <w:color w:val="000000"/>
          <w:sz w:val="20"/>
          <w:szCs w:val="20"/>
        </w:rPr>
        <w:t xml:space="preserve"> requisitos:</w:t>
      </w:r>
    </w:p>
    <w:p>
      <w:pPr>
        <w:pStyle w:val="NormalWeb"/>
        <w:numPr>
          <w:ilvl w:val="0"/>
          <w:numId w:val="6"/>
        </w:numPr>
        <w:spacing w:lineRule="auto" w:line="240" w:beforeAutospacing="0" w:before="119" w:after="0"/>
        <w:rPr>
          <w:lang w:val="es-ES"/>
        </w:rPr>
      </w:pPr>
      <w:r>
        <w:rPr>
          <w:rFonts w:ascii="Noto Sans" w:hAnsi="Noto Sans"/>
          <w:color w:val="000000"/>
          <w:sz w:val="20"/>
          <w:szCs w:val="20"/>
          <w:lang w:val="es-ES"/>
        </w:rPr>
        <w:t>Se presentarán</w:t>
      </w:r>
      <w:bookmarkStart w:id="1" w:name="_GoBack"/>
      <w:bookmarkEnd w:id="1"/>
      <w:r>
        <w:rPr>
          <w:rFonts w:ascii="Noto Sans" w:hAnsi="Noto Sans"/>
          <w:color w:val="000000"/>
          <w:sz w:val="20"/>
          <w:szCs w:val="20"/>
          <w:lang w:val="es-ES"/>
        </w:rPr>
        <w:t xml:space="preserve"> las facturas y otros documentos de valor probatorio equivalente y con validez en el tráfico jurídico mercantil o con eficacia administrativa.</w:t>
      </w:r>
    </w:p>
    <w:p>
      <w:pPr>
        <w:pStyle w:val="NormalWeb"/>
        <w:numPr>
          <w:ilvl w:val="0"/>
          <w:numId w:val="6"/>
        </w:numPr>
        <w:spacing w:lineRule="auto" w:line="240" w:beforeAutospacing="0" w:before="0" w:after="120"/>
        <w:ind w:left="714" w:hanging="357"/>
        <w:rPr>
          <w:rFonts w:ascii="Noto Sans" w:hAnsi="Noto Sans"/>
          <w:color w:val="000000"/>
          <w:sz w:val="20"/>
          <w:szCs w:val="20"/>
          <w:lang w:val="es-ES"/>
        </w:rPr>
      </w:pPr>
      <w:r>
        <w:rPr>
          <w:rFonts w:ascii="Noto Sans" w:hAnsi="Noto Sans"/>
          <w:color w:val="000000"/>
          <w:sz w:val="20"/>
          <w:szCs w:val="20"/>
          <w:lang w:val="es-ES"/>
        </w:rPr>
        <w:t>Las facturas deben contener:</w:t>
      </w:r>
    </w:p>
    <w:p>
      <w:pPr>
        <w:pStyle w:val="Normal"/>
        <w:numPr>
          <w:ilvl w:val="1"/>
          <w:numId w:val="5"/>
        </w:numPr>
        <w:spacing w:lineRule="auto" w:line="240" w:before="0" w:after="0"/>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El nombre, la dirección y el CIF o el NIF de la entidad.</w:t>
      </w:r>
    </w:p>
    <w:p>
      <w:pPr>
        <w:pStyle w:val="Normal"/>
        <w:numPr>
          <w:ilvl w:val="1"/>
          <w:numId w:val="5"/>
        </w:numPr>
        <w:spacing w:lineRule="auto" w:line="240" w:before="0" w:after="0"/>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El número de la factura y la fecha.</w:t>
      </w:r>
    </w:p>
    <w:p>
      <w:pPr>
        <w:pStyle w:val="Normal"/>
        <w:numPr>
          <w:ilvl w:val="1"/>
          <w:numId w:val="5"/>
        </w:numPr>
        <w:spacing w:lineRule="auto" w:line="240" w:before="0" w:after="0"/>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La expresión detallada del servicio prestado o del material suministrado.</w:t>
      </w:r>
    </w:p>
    <w:p>
      <w:pPr>
        <w:pStyle w:val="Normal"/>
        <w:numPr>
          <w:ilvl w:val="1"/>
          <w:numId w:val="5"/>
        </w:numPr>
        <w:spacing w:lineRule="auto" w:line="240" w:before="0" w:after="120"/>
        <w:ind w:left="1434" w:hanging="357"/>
        <w:rPr>
          <w:rFonts w:ascii="Noto Sans" w:hAnsi="Noto Sans" w:eastAsia="Times New Roman" w:cs="Times New Roman"/>
          <w:color w:val="000000"/>
          <w:sz w:val="20"/>
          <w:szCs w:val="20"/>
          <w:lang w:eastAsia="ca-ES"/>
        </w:rPr>
      </w:pPr>
      <w:r>
        <w:rPr>
          <w:rFonts w:eastAsia="Times New Roman" w:cs="Times New Roman" w:ascii="Noto Sans" w:hAnsi="Noto Sans"/>
          <w:color w:val="000000"/>
          <w:sz w:val="20"/>
          <w:szCs w:val="20"/>
          <w:lang w:eastAsia="ca-ES"/>
        </w:rPr>
        <w:t>La dirección y el CIF o el NIF de la entidad receptora.</w:t>
      </w:r>
    </w:p>
    <w:p>
      <w:pPr>
        <w:pStyle w:val="ListParagraph"/>
        <w:numPr>
          <w:ilvl w:val="0"/>
          <w:numId w:val="3"/>
        </w:numPr>
        <w:tabs>
          <w:tab w:val="clear" w:pos="708"/>
        </w:tabs>
        <w:spacing w:lineRule="auto" w:line="240" w:before="0" w:after="120"/>
        <w:ind w:left="425" w:hanging="425"/>
        <w:contextualSpacing/>
        <w:rPr/>
      </w:pPr>
      <w:r>
        <w:rPr>
          <w:rFonts w:eastAsia="Times New Roman" w:cs="Times New Roman" w:ascii="Noto Sans" w:hAnsi="Noto Sans"/>
          <w:color w:val="000000"/>
          <w:sz w:val="20"/>
          <w:szCs w:val="20"/>
          <w:lang w:eastAsia="ca-ES"/>
        </w:rPr>
        <w:t xml:space="preserve">Se considerará gasto efectuado el que haya sido efectivamente pagado antes </w:t>
      </w:r>
      <w:r>
        <w:rPr>
          <w:rFonts w:eastAsia="Times New Roman" w:cs="Times New Roman" w:ascii="Noto Sans" w:hAnsi="Noto Sans"/>
          <w:sz w:val="20"/>
          <w:szCs w:val="20"/>
          <w:lang w:eastAsia="ca-ES"/>
        </w:rPr>
        <w:t>de</w:t>
      </w:r>
      <w:r>
        <w:rPr>
          <w:rFonts w:eastAsia="Times New Roman" w:cs="Times New Roman" w:ascii="Noto Sans" w:hAnsi="Noto Sans"/>
          <w:color w:val="000000"/>
          <w:sz w:val="20"/>
          <w:szCs w:val="20"/>
          <w:lang w:eastAsia="ca-ES"/>
        </w:rPr>
        <w:t xml:space="preserve"> que acabe el plazo de justificación que establezca la resolución de concesión, a no ser que la resolución de concesión</w:t>
      </w:r>
      <w:r>
        <w:rPr>
          <w:rFonts w:ascii="Noto Sans" w:hAnsi="Noto Sans"/>
          <w:sz w:val="20"/>
          <w:szCs w:val="20"/>
        </w:rPr>
        <w:t xml:space="preserve"> establezca expresamente otra cosa.</w:t>
      </w:r>
    </w:p>
    <w:p>
      <w:pPr>
        <w:pStyle w:val="ListParagraph"/>
        <w:numPr>
          <w:ilvl w:val="0"/>
          <w:numId w:val="3"/>
        </w:numPr>
        <w:tabs>
          <w:tab w:val="clear" w:pos="708"/>
        </w:tabs>
        <w:spacing w:lineRule="auto" w:line="240" w:before="0" w:after="120"/>
        <w:ind w:left="425" w:hanging="425"/>
        <w:contextualSpacing/>
        <w:rPr/>
      </w:pPr>
      <w:r>
        <w:rPr>
          <w:rFonts w:ascii="Noto Sans" w:hAnsi="Noto Sans"/>
          <w:sz w:val="20"/>
          <w:szCs w:val="20"/>
        </w:rPr>
        <w:t xml:space="preserve">Una vez </w:t>
      </w:r>
      <w:r>
        <w:rPr>
          <w:rFonts w:eastAsia="Times New Roman" w:cs="Times New Roman" w:ascii="Noto Sans" w:hAnsi="Noto Sans"/>
          <w:sz w:val="20"/>
          <w:szCs w:val="20"/>
          <w:lang w:eastAsia="ca-ES"/>
        </w:rPr>
        <w:t>justificada</w:t>
      </w:r>
      <w:r>
        <w:rPr>
          <w:rFonts w:ascii="Noto Sans" w:hAnsi="Noto Sans"/>
          <w:sz w:val="20"/>
          <w:szCs w:val="20"/>
        </w:rPr>
        <w:t xml:space="preserve"> la subvención, y en el marco de las actuaciones de comprobación, la Administración llevará a cabo el acto de liquidación.</w:t>
      </w:r>
      <w:bookmarkStart w:id="2" w:name="sdfootnote6anc"/>
      <w:bookmarkEnd w:id="2"/>
      <w:r>
        <w:rPr>
          <w:rStyle w:val="Ancladenotaalpie"/>
          <w:rStyle w:val="Ancladenotaalpie"/>
          <w:rFonts w:ascii="Noto Sans" w:hAnsi="Noto Sans"/>
          <w:sz w:val="20"/>
          <w:szCs w:val="20"/>
        </w:rPr>
        <w:footnoteReference w:id="7"/>
      </w:r>
    </w:p>
    <w:sectPr>
      <w:footnotePr>
        <w:numFmt w:val="decimal"/>
      </w:footnotePr>
      <w:type w:val="nextPage"/>
      <w:pgSz w:w="11906" w:h="16838"/>
      <w:pgMar w:left="1701" w:right="1701" w:header="0" w:top="1418" w:footer="0" w:bottom="1418"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Wingdings">
    <w:charset w:val="02"/>
    <w:family w:val="auto"/>
    <w:pitch w:val="variable"/>
  </w:font>
  <w:font w:name="Noto Sans">
    <w:charset w:val="01"/>
    <w:family w:val="swiss"/>
    <w:pitch w:val="variable"/>
  </w:font>
  <w:font w:name="Courier New">
    <w:charset w:val="01"/>
    <w:family w:val="modern"/>
    <w:pitch w:val="fixed"/>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ie"/>
        <w:rPr/>
      </w:pPr>
      <w:r>
        <w:rPr>
          <w:rStyle w:val="Caracteresdenotaalpie"/>
        </w:rPr>
        <w:footnoteRef/>
      </w:r>
      <w:r>
        <w:rPr>
          <w:rFonts w:ascii="Noto Sans" w:hAnsi="Noto Sans"/>
          <w:sz w:val="18"/>
          <w:szCs w:val="18"/>
        </w:rPr>
        <w:t xml:space="preserve">. </w:t>
      </w:r>
      <w:r>
        <w:rPr>
          <w:rFonts w:ascii="Noto Sans" w:hAnsi="Noto Sans"/>
          <w:color w:val="000000"/>
          <w:sz w:val="18"/>
          <w:szCs w:val="18"/>
        </w:rPr>
        <w:t>Según dispone el artículo 39 del Texto refundido de la Ley de subvenciones, aprobado por el Decreto Legislativo 2/2005, de 28 de diciembre.</w:t>
      </w:r>
    </w:p>
  </w:footnote>
  <w:footnote w:id="3">
    <w:p>
      <w:pPr>
        <w:pStyle w:val="Notaalpie"/>
        <w:rPr/>
      </w:pPr>
      <w:r>
        <w:rPr>
          <w:rStyle w:val="Caracteresdenotaalpie"/>
        </w:rPr>
        <w:footnoteRef/>
      </w:r>
      <w:r>
        <w:rPr>
          <w:rFonts w:ascii="Noto Sans" w:hAnsi="Noto Sans"/>
          <w:sz w:val="18"/>
          <w:szCs w:val="18"/>
        </w:rPr>
        <w:t xml:space="preserve">. </w:t>
      </w:r>
      <w:r>
        <w:rPr>
          <w:rFonts w:ascii="Noto Sans" w:hAnsi="Noto Sans"/>
          <w:color w:val="000000"/>
          <w:sz w:val="18"/>
          <w:szCs w:val="18"/>
        </w:rPr>
        <w:t>Con las excepciones (1) de que por las características especiales de los gastos subvencionables no haya en el mercado un número suficiente de entidades que lo presten o lo suministren, o (2) de que el gasto se haya efectuado antes de la solicitud de la subvención.</w:t>
      </w:r>
    </w:p>
  </w:footnote>
  <w:footnote w:id="4">
    <w:p>
      <w:pPr>
        <w:pStyle w:val="NormalWeb"/>
        <w:spacing w:lineRule="auto" w:line="240" w:beforeAutospacing="0" w:before="0" w:after="0"/>
        <w:rPr/>
      </w:pPr>
      <w:r>
        <w:rPr>
          <w:rStyle w:val="Caracteresdenotaalpie"/>
        </w:rPr>
        <w:footnoteRef/>
      </w:r>
      <w:r>
        <w:rPr>
          <w:rFonts w:ascii="Noto Sans" w:hAnsi="Noto Sans"/>
          <w:sz w:val="18"/>
          <w:szCs w:val="18"/>
        </w:rPr>
        <w:t xml:space="preserve">. </w:t>
      </w:r>
      <w:r>
        <w:rPr>
          <w:rFonts w:ascii="Noto Sans" w:hAnsi="Noto Sans"/>
          <w:color w:val="000000"/>
          <w:sz w:val="18"/>
          <w:szCs w:val="18"/>
          <w:lang w:val="es-ES"/>
        </w:rPr>
        <w:t>Según el artículo 40 del Texto refundido de la Ley de subvenciones, aprobado por el Decreto Legislativo 2/2005, de 28 de diciembre.</w:t>
      </w:r>
    </w:p>
  </w:footnote>
  <w:footnote w:id="5">
    <w:p>
      <w:pPr>
        <w:pStyle w:val="NormalWeb"/>
        <w:spacing w:lineRule="auto" w:line="240" w:beforeAutospacing="0" w:before="0" w:after="0"/>
        <w:rPr/>
      </w:pPr>
      <w:r>
        <w:rPr>
          <w:rStyle w:val="Caracteresdenotaalpie"/>
        </w:rPr>
        <w:footnoteRef/>
      </w:r>
      <w:r>
        <w:rPr>
          <w:rFonts w:ascii="Noto Sans" w:hAnsi="Noto Sans"/>
          <w:sz w:val="18"/>
          <w:szCs w:val="18"/>
        </w:rPr>
        <w:t xml:space="preserve">. </w:t>
      </w:r>
      <w:r>
        <w:rPr>
          <w:rFonts w:ascii="Noto Sans" w:hAnsi="Noto Sans"/>
          <w:color w:val="000000"/>
          <w:sz w:val="18"/>
          <w:szCs w:val="18"/>
          <w:lang w:val="es-ES"/>
        </w:rPr>
        <w:t>Según el artículo 38 del Texto refundido de la Ley de subvenciones, aprobado por el Decreto Legislativo 2/2005, de 28 de diciembre.</w:t>
      </w:r>
    </w:p>
  </w:footnote>
  <w:footnote w:id="6">
    <w:p>
      <w:pPr>
        <w:pStyle w:val="NormalWeb"/>
        <w:spacing w:lineRule="auto" w:line="240" w:beforeAutospacing="0" w:before="0" w:after="0"/>
        <w:rPr/>
      </w:pPr>
      <w:r>
        <w:rPr>
          <w:rStyle w:val="Caracteresdenotaalpie"/>
        </w:rPr>
        <w:footnoteRef/>
      </w:r>
      <w:r>
        <w:rPr>
          <w:rFonts w:ascii="Noto Sans" w:hAnsi="Noto Sans"/>
          <w:sz w:val="18"/>
          <w:szCs w:val="18"/>
        </w:rPr>
        <w:t xml:space="preserve">. </w:t>
      </w:r>
      <w:r>
        <w:rPr>
          <w:rFonts w:ascii="Noto Sans" w:hAnsi="Noto Sans"/>
          <w:color w:val="000000"/>
          <w:sz w:val="18"/>
          <w:szCs w:val="18"/>
          <w:lang w:val="es-ES"/>
        </w:rPr>
        <w:t>En los términos establecidos en el artículo 44 y en el título V del Texto refundido de la Ley de subvenciones, aprobado por el Decreto Legislativo 2/2005, de 28 de diciembre.</w:t>
      </w:r>
    </w:p>
  </w:footnote>
  <w:footnote w:id="7">
    <w:p>
      <w:pPr>
        <w:pStyle w:val="NormalWeb"/>
        <w:spacing w:lineRule="auto" w:line="240" w:beforeAutospacing="0" w:before="0" w:after="0"/>
        <w:rPr/>
      </w:pPr>
      <w:r>
        <w:rPr>
          <w:rStyle w:val="Caracteresdenotaalpie"/>
        </w:rPr>
        <w:footnoteRef/>
      </w:r>
      <w:r>
        <w:rPr>
          <w:rFonts w:ascii="Noto Sans" w:hAnsi="Noto Sans"/>
          <w:sz w:val="18"/>
          <w:szCs w:val="18"/>
        </w:rPr>
        <w:t xml:space="preserve">. </w:t>
      </w:r>
      <w:r>
        <w:rPr>
          <w:rFonts w:ascii="Noto Sans" w:hAnsi="Noto Sans"/>
          <w:color w:val="000000"/>
          <w:sz w:val="18"/>
          <w:szCs w:val="18"/>
          <w:lang w:val="es-ES"/>
        </w:rPr>
        <w:t>De acuerdo con los artículos 36 y 42 bis del Texto refundido de la Ley de subvenciones, aprobado por el Decreto Legislativo 2/2005, de 28 de diciembre.</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sz w:val="20"/>
        <w:rFonts w:cs="Symbol"/>
      </w:rPr>
    </w:lvl>
    <w:lvl w:ilvl="1">
      <w:start w:val="1"/>
      <w:numFmt w:val="bullet"/>
      <w:lvlText w:val=""/>
      <w:lvlJc w:val="left"/>
      <w:pPr>
        <w:tabs>
          <w:tab w:val="num" w:pos="1440"/>
        </w:tabs>
        <w:ind w:left="1440" w:hanging="360"/>
      </w:pPr>
      <w:rPr>
        <w:rFonts w:ascii="Symbol" w:hAnsi="Symbol" w:cs="Symbol" w:hint="default"/>
        <w:sz w:val="20"/>
        <w:rFonts w:cs="Symbol"/>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bullet"/>
      <w:lvlText w:val="—"/>
      <w:lvlJc w:val="left"/>
      <w:pPr>
        <w:tabs>
          <w:tab w:val="num" w:pos="720"/>
        </w:tabs>
        <w:ind w:left="720" w:hanging="360"/>
      </w:pPr>
      <w:rPr>
        <w:rFonts w:ascii="Noto Sans" w:hAnsi="Noto Sans" w:cs="Noto Sans" w:hint="default"/>
        <w:sz w:val="20"/>
        <w:rFonts w:cs="Noto Sans"/>
      </w:rPr>
    </w:lvl>
    <w:lvl w:ilvl="1">
      <w:start w:val="1"/>
      <w:numFmt w:val="bullet"/>
      <w:lvlText w:val="o"/>
      <w:lvlJc w:val="left"/>
      <w:pPr>
        <w:tabs>
          <w:tab w:val="num" w:pos="1440"/>
        </w:tabs>
        <w:ind w:left="1440" w:hanging="360"/>
      </w:pPr>
      <w:rPr>
        <w:rFonts w:ascii="Courier New" w:hAnsi="Courier New" w:cs="Courier New" w:hint="default"/>
        <w:sz w:val="20"/>
        <w:rFonts w:cs="Courier New"/>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sz w:val="20"/>
        <w:i/>
        <w:szCs w:val="20"/>
        <w:rFonts w:ascii="Noto Sans" w:hAnsi="Noto Sans"/>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lvl w:ilvl="0">
      <w:start w:val="1"/>
      <w:numFmt w:val="bullet"/>
      <w:lvlText w:val=""/>
      <w:lvlJc w:val="left"/>
      <w:pPr>
        <w:tabs>
          <w:tab w:val="num" w:pos="720"/>
        </w:tabs>
        <w:ind w:left="720" w:hanging="360"/>
      </w:pPr>
      <w:rPr>
        <w:rFonts w:ascii="Symbol" w:hAnsi="Symbol" w:cs="Symbol" w:hint="default"/>
        <w:sz w:val="20"/>
        <w:rFonts w:cs="Symbol"/>
      </w:rPr>
    </w:lvl>
    <w:lvl w:ilvl="1">
      <w:start w:val="1"/>
      <w:numFmt w:val="bullet"/>
      <w:lvlText w:val="–"/>
      <w:lvlJc w:val="left"/>
      <w:pPr>
        <w:tabs>
          <w:tab w:val="num" w:pos="1440"/>
        </w:tabs>
        <w:ind w:left="1440" w:hanging="360"/>
      </w:pPr>
      <w:rPr>
        <w:rFonts w:ascii="Noto Sans" w:hAnsi="Noto Sans" w:cs="Noto Sans" w:hint="default"/>
        <w:sz w:val="20"/>
        <w:rFonts w:cs="Noto Sans"/>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6">
    <w:lvl w:ilvl="0">
      <w:start w:val="1"/>
      <w:numFmt w:val="bullet"/>
      <w:lvlText w:val=""/>
      <w:lvlJc w:val="left"/>
      <w:pPr>
        <w:tabs>
          <w:tab w:val="num" w:pos="720"/>
        </w:tabs>
        <w:ind w:left="720" w:hanging="360"/>
      </w:pPr>
      <w:rPr>
        <w:rFonts w:ascii="Symbol" w:hAnsi="Symbol" w:cs="Symbol" w:hint="default"/>
        <w:sz w:val="20"/>
        <w:rFonts w:cs="Symbol"/>
      </w:rPr>
    </w:lvl>
    <w:lvl w:ilvl="1">
      <w:start w:val="1"/>
      <w:numFmt w:val="bullet"/>
      <w:lvlText w:val="o"/>
      <w:lvlJc w:val="left"/>
      <w:pPr>
        <w:tabs>
          <w:tab w:val="num" w:pos="1440"/>
        </w:tabs>
        <w:ind w:left="1440" w:hanging="360"/>
      </w:pPr>
      <w:rPr>
        <w:rFonts w:ascii="Courier New" w:hAnsi="Courier New" w:cs="Courier New" w:hint="default"/>
        <w:sz w:val="20"/>
        <w:rFonts w:cs="Courier New"/>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60"/>
  <w:defaultTabStop w:val="708"/>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EnlacedeInternet">
    <w:name w:val="Enlace de Internet"/>
    <w:basedOn w:val="DefaultParagraphFont"/>
    <w:uiPriority w:val="99"/>
    <w:semiHidden/>
    <w:unhideWhenUsed/>
    <w:rsid w:val="0055236d"/>
    <w:rPr>
      <w:color w:val="000080"/>
      <w:u w:val="single"/>
    </w:rPr>
  </w:style>
  <w:style w:type="character" w:styleId="TextonotapieCar" w:customStyle="1">
    <w:name w:val="Texto nota pie Car"/>
    <w:basedOn w:val="DefaultParagraphFont"/>
    <w:link w:val="Textonotapie"/>
    <w:uiPriority w:val="99"/>
    <w:semiHidden/>
    <w:qFormat/>
    <w:rsid w:val="00560c36"/>
    <w:rPr>
      <w:sz w:val="20"/>
      <w:szCs w:val="20"/>
    </w:rPr>
  </w:style>
  <w:style w:type="character" w:styleId="Ancladenotaalpie">
    <w:name w:val="Ancla de nota al pie"/>
    <w:rPr>
      <w:vertAlign w:val="superscript"/>
    </w:rPr>
  </w:style>
  <w:style w:type="character" w:styleId="FootnoteCharacters">
    <w:name w:val="Footnote Characters"/>
    <w:basedOn w:val="DefaultParagraphFont"/>
    <w:uiPriority w:val="99"/>
    <w:semiHidden/>
    <w:unhideWhenUsed/>
    <w:qFormat/>
    <w:rsid w:val="00560c36"/>
    <w:rPr>
      <w:vertAlign w:val="superscript"/>
    </w:rPr>
  </w:style>
  <w:style w:type="character" w:styleId="Annotationreference">
    <w:name w:val="annotation reference"/>
    <w:basedOn w:val="DefaultParagraphFont"/>
    <w:uiPriority w:val="99"/>
    <w:semiHidden/>
    <w:unhideWhenUsed/>
    <w:qFormat/>
    <w:rsid w:val="002601b3"/>
    <w:rPr>
      <w:sz w:val="16"/>
      <w:szCs w:val="16"/>
    </w:rPr>
  </w:style>
  <w:style w:type="character" w:styleId="AsuntodelcomentarioCar" w:customStyle="1">
    <w:name w:val="Asunto del comentario Car"/>
    <w:basedOn w:val="TextocomentarioCar"/>
    <w:link w:val="Asuntodelcomentario"/>
    <w:uiPriority w:val="99"/>
    <w:semiHidden/>
    <w:qFormat/>
    <w:rsid w:val="002601b3"/>
    <w:rPr>
      <w:b/>
      <w:bCs/>
      <w:sz w:val="20"/>
      <w:szCs w:val="20"/>
    </w:rPr>
  </w:style>
  <w:style w:type="character" w:styleId="TextodegloboCar" w:customStyle="1">
    <w:name w:val="Texto de globo Car"/>
    <w:basedOn w:val="DefaultParagraphFont"/>
    <w:link w:val="Textodeglobo"/>
    <w:uiPriority w:val="99"/>
    <w:semiHidden/>
    <w:qFormat/>
    <w:rsid w:val="002601b3"/>
    <w:rPr>
      <w:rFonts w:ascii="Segoe UI" w:hAnsi="Segoe UI" w:cs="Segoe UI"/>
      <w:sz w:val="18"/>
      <w:szCs w:val="18"/>
    </w:rPr>
  </w:style>
  <w:style w:type="character" w:styleId="EncabezadoCar" w:customStyle="1">
    <w:name w:val="Encabezado Car"/>
    <w:basedOn w:val="DefaultParagraphFont"/>
    <w:link w:val="Encabezado"/>
    <w:uiPriority w:val="99"/>
    <w:qFormat/>
    <w:rsid w:val="002e7b76"/>
    <w:rPr/>
  </w:style>
  <w:style w:type="character" w:styleId="PiedepginaCar" w:customStyle="1">
    <w:name w:val="Pie de página Car"/>
    <w:basedOn w:val="DefaultParagraphFont"/>
    <w:link w:val="Piedepgina"/>
    <w:uiPriority w:val="99"/>
    <w:qFormat/>
    <w:rsid w:val="002e7b76"/>
    <w:rPr/>
  </w:style>
  <w:style w:type="character" w:styleId="ListLabel1">
    <w:name w:val="ListLabel 1"/>
    <w:qFormat/>
    <w:rPr>
      <w:sz w:val="20"/>
    </w:rPr>
  </w:style>
  <w:style w:type="character" w:styleId="ListLabel2">
    <w:name w:val="ListLabel 2"/>
    <w:qFormat/>
    <w:rPr>
      <w:sz w:val="20"/>
    </w:rPr>
  </w:style>
  <w:style w:type="character" w:styleId="ListLabel3">
    <w:name w:val="ListLabel 3"/>
    <w:qFormat/>
    <w:rPr>
      <w:sz w:val="20"/>
    </w:rPr>
  </w:style>
  <w:style w:type="character" w:styleId="ListLabel4">
    <w:name w:val="ListLabel 4"/>
    <w:qFormat/>
    <w:rPr>
      <w:sz w:val="20"/>
    </w:rPr>
  </w:style>
  <w:style w:type="character" w:styleId="ListLabel5">
    <w:name w:val="ListLabel 5"/>
    <w:qFormat/>
    <w:rPr>
      <w:sz w:val="20"/>
    </w:rPr>
  </w:style>
  <w:style w:type="character" w:styleId="ListLabel6">
    <w:name w:val="ListLabel 6"/>
    <w:qFormat/>
    <w:rPr>
      <w:sz w:val="20"/>
    </w:rPr>
  </w:style>
  <w:style w:type="character" w:styleId="ListLabel7">
    <w:name w:val="ListLabel 7"/>
    <w:qFormat/>
    <w:rPr>
      <w:sz w:val="20"/>
    </w:rPr>
  </w:style>
  <w:style w:type="character" w:styleId="ListLabel8">
    <w:name w:val="ListLabel 8"/>
    <w:qFormat/>
    <w:rPr>
      <w:sz w:val="20"/>
    </w:rPr>
  </w:style>
  <w:style w:type="character" w:styleId="ListLabel9">
    <w:name w:val="ListLabel 9"/>
    <w:qFormat/>
    <w:rPr>
      <w:sz w:val="20"/>
    </w:rPr>
  </w:style>
  <w:style w:type="character" w:styleId="ListLabel10">
    <w:name w:val="ListLabel 10"/>
    <w:qFormat/>
    <w:rPr>
      <w:sz w:val="20"/>
    </w:rPr>
  </w:style>
  <w:style w:type="character" w:styleId="ListLabel11">
    <w:name w:val="ListLabel 11"/>
    <w:qFormat/>
    <w:rPr>
      <w:rFonts w:ascii="Noto Sans" w:hAnsi="Noto Sans"/>
      <w:sz w:val="20"/>
    </w:rPr>
  </w:style>
  <w:style w:type="character" w:styleId="ListLabel12">
    <w:name w:val="ListLabel 12"/>
    <w:qFormat/>
    <w:rPr>
      <w:sz w:val="20"/>
    </w:rPr>
  </w:style>
  <w:style w:type="character" w:styleId="ListLabel13">
    <w:name w:val="ListLabel 13"/>
    <w:qFormat/>
    <w:rPr>
      <w:sz w:val="20"/>
    </w:rPr>
  </w:style>
  <w:style w:type="character" w:styleId="ListLabel14">
    <w:name w:val="ListLabel 14"/>
    <w:qFormat/>
    <w:rPr>
      <w:sz w:val="20"/>
    </w:rPr>
  </w:style>
  <w:style w:type="character" w:styleId="ListLabel15">
    <w:name w:val="ListLabel 15"/>
    <w:qFormat/>
    <w:rPr>
      <w:sz w:val="20"/>
    </w:rPr>
  </w:style>
  <w:style w:type="character" w:styleId="ListLabel16">
    <w:name w:val="ListLabel 16"/>
    <w:qFormat/>
    <w:rPr>
      <w:sz w:val="20"/>
    </w:rPr>
  </w:style>
  <w:style w:type="character" w:styleId="ListLabel17">
    <w:name w:val="ListLabel 17"/>
    <w:qFormat/>
    <w:rPr>
      <w:sz w:val="20"/>
    </w:rPr>
  </w:style>
  <w:style w:type="character" w:styleId="ListLabel18">
    <w:name w:val="ListLabel 18"/>
    <w:qFormat/>
    <w:rPr>
      <w:sz w:val="20"/>
    </w:rPr>
  </w:style>
  <w:style w:type="character" w:styleId="ListLabel19">
    <w:name w:val="ListLabel 19"/>
    <w:qFormat/>
    <w:rPr>
      <w:sz w:val="20"/>
    </w:rPr>
  </w:style>
  <w:style w:type="character" w:styleId="ListLabel20">
    <w:name w:val="ListLabel 20"/>
    <w:qFormat/>
    <w:rPr>
      <w:sz w:val="20"/>
    </w:rPr>
  </w:style>
  <w:style w:type="character" w:styleId="ListLabel21">
    <w:name w:val="ListLabel 21"/>
    <w:qFormat/>
    <w:rPr>
      <w:sz w:val="20"/>
    </w:rPr>
  </w:style>
  <w:style w:type="character" w:styleId="ListLabel22">
    <w:name w:val="ListLabel 22"/>
    <w:qFormat/>
    <w:rPr>
      <w:sz w:val="20"/>
    </w:rPr>
  </w:style>
  <w:style w:type="character" w:styleId="ListLabel23">
    <w:name w:val="ListLabel 23"/>
    <w:qFormat/>
    <w:rPr>
      <w:sz w:val="20"/>
    </w:rPr>
  </w:style>
  <w:style w:type="character" w:styleId="ListLabel24">
    <w:name w:val="ListLabel 24"/>
    <w:qFormat/>
    <w:rPr>
      <w:sz w:val="20"/>
    </w:rPr>
  </w:style>
  <w:style w:type="character" w:styleId="ListLabel25">
    <w:name w:val="ListLabel 25"/>
    <w:qFormat/>
    <w:rPr>
      <w:sz w:val="20"/>
    </w:rPr>
  </w:style>
  <w:style w:type="character" w:styleId="ListLabel26">
    <w:name w:val="ListLabel 26"/>
    <w:qFormat/>
    <w:rPr>
      <w:sz w:val="20"/>
    </w:rPr>
  </w:style>
  <w:style w:type="character" w:styleId="ListLabel27">
    <w:name w:val="ListLabel 27"/>
    <w:qFormat/>
    <w:rPr>
      <w:sz w:val="20"/>
    </w:rPr>
  </w:style>
  <w:style w:type="character" w:styleId="ListLabel28">
    <w:name w:val="ListLabel 28"/>
    <w:qFormat/>
    <w:rPr>
      <w:sz w:val="20"/>
    </w:rPr>
  </w:style>
  <w:style w:type="character" w:styleId="ListLabel29">
    <w:name w:val="ListLabel 29"/>
    <w:qFormat/>
    <w:rPr>
      <w:sz w:val="20"/>
    </w:rPr>
  </w:style>
  <w:style w:type="character" w:styleId="ListLabel30">
    <w:name w:val="ListLabel 30"/>
    <w:qFormat/>
    <w:rPr>
      <w:sz w:val="20"/>
    </w:rPr>
  </w:style>
  <w:style w:type="character" w:styleId="ListLabel31">
    <w:name w:val="ListLabel 31"/>
    <w:qFormat/>
    <w:rPr>
      <w:sz w:val="20"/>
    </w:rPr>
  </w:style>
  <w:style w:type="character" w:styleId="ListLabel32">
    <w:name w:val="ListLabel 32"/>
    <w:qFormat/>
    <w:rPr>
      <w:sz w:val="20"/>
    </w:rPr>
  </w:style>
  <w:style w:type="character" w:styleId="ListLabel33">
    <w:name w:val="ListLabel 33"/>
    <w:qFormat/>
    <w:rPr>
      <w:sz w:val="20"/>
    </w:rPr>
  </w:style>
  <w:style w:type="character" w:styleId="ListLabel34">
    <w:name w:val="ListLabel 34"/>
    <w:qFormat/>
    <w:rPr>
      <w:sz w:val="20"/>
    </w:rPr>
  </w:style>
  <w:style w:type="character" w:styleId="ListLabel35">
    <w:name w:val="ListLabel 35"/>
    <w:qFormat/>
    <w:rPr>
      <w:sz w:val="20"/>
    </w:rPr>
  </w:style>
  <w:style w:type="character" w:styleId="ListLabel36">
    <w:name w:val="ListLabel 36"/>
    <w:qFormat/>
    <w:rPr>
      <w:sz w:val="20"/>
    </w:rPr>
  </w:style>
  <w:style w:type="character" w:styleId="ListLabel37">
    <w:name w:val="ListLabel 37"/>
    <w:qFormat/>
    <w:rPr>
      <w:sz w:val="20"/>
    </w:rPr>
  </w:style>
  <w:style w:type="character" w:styleId="ListLabel38">
    <w:name w:val="ListLabel 38"/>
    <w:qFormat/>
    <w:rPr>
      <w:sz w:val="20"/>
    </w:rPr>
  </w:style>
  <w:style w:type="character" w:styleId="ListLabel39">
    <w:name w:val="ListLabel 39"/>
    <w:qFormat/>
    <w:rPr>
      <w:sz w:val="20"/>
    </w:rPr>
  </w:style>
  <w:style w:type="character" w:styleId="ListLabel40">
    <w:name w:val="ListLabel 40"/>
    <w:qFormat/>
    <w:rPr>
      <w:sz w:val="20"/>
    </w:rPr>
  </w:style>
  <w:style w:type="character" w:styleId="ListLabel41">
    <w:name w:val="ListLabel 41"/>
    <w:qFormat/>
    <w:rPr>
      <w:sz w:val="20"/>
    </w:rPr>
  </w:style>
  <w:style w:type="character" w:styleId="ListLabel42">
    <w:name w:val="ListLabel 42"/>
    <w:qFormat/>
    <w:rPr>
      <w:sz w:val="20"/>
    </w:rPr>
  </w:style>
  <w:style w:type="character" w:styleId="ListLabel43">
    <w:name w:val="ListLabel 43"/>
    <w:qFormat/>
    <w:rPr>
      <w:sz w:val="20"/>
    </w:rPr>
  </w:style>
  <w:style w:type="character" w:styleId="ListLabel44">
    <w:name w:val="ListLabel 44"/>
    <w:qFormat/>
    <w:rPr>
      <w:sz w:val="20"/>
    </w:rPr>
  </w:style>
  <w:style w:type="character" w:styleId="ListLabel45">
    <w:name w:val="ListLabel 45"/>
    <w:qFormat/>
    <w:rPr>
      <w:sz w:val="20"/>
    </w:rPr>
  </w:style>
  <w:style w:type="character" w:styleId="ListLabel46">
    <w:name w:val="ListLabel 46"/>
    <w:qFormat/>
    <w:rPr>
      <w:sz w:val="20"/>
    </w:rPr>
  </w:style>
  <w:style w:type="character" w:styleId="ListLabel47">
    <w:name w:val="ListLabel 47"/>
    <w:qFormat/>
    <w:rPr>
      <w:sz w:val="20"/>
    </w:rPr>
  </w:style>
  <w:style w:type="character" w:styleId="ListLabel48">
    <w:name w:val="ListLabel 48"/>
    <w:qFormat/>
    <w:rPr>
      <w:sz w:val="20"/>
    </w:rPr>
  </w:style>
  <w:style w:type="character" w:styleId="ListLabel49">
    <w:name w:val="ListLabel 49"/>
    <w:qFormat/>
    <w:rPr>
      <w:sz w:val="20"/>
    </w:rPr>
  </w:style>
  <w:style w:type="character" w:styleId="ListLabel50">
    <w:name w:val="ListLabel 50"/>
    <w:qFormat/>
    <w:rPr>
      <w:sz w:val="20"/>
    </w:rPr>
  </w:style>
  <w:style w:type="character" w:styleId="ListLabel51">
    <w:name w:val="ListLabel 51"/>
    <w:qFormat/>
    <w:rPr>
      <w:sz w:val="20"/>
    </w:rPr>
  </w:style>
  <w:style w:type="character" w:styleId="ListLabel52">
    <w:name w:val="ListLabel 52"/>
    <w:qFormat/>
    <w:rPr>
      <w:sz w:val="20"/>
    </w:rPr>
  </w:style>
  <w:style w:type="character" w:styleId="ListLabel53">
    <w:name w:val="ListLabel 53"/>
    <w:qFormat/>
    <w:rPr>
      <w:sz w:val="20"/>
    </w:rPr>
  </w:style>
  <w:style w:type="character" w:styleId="ListLabel54">
    <w:name w:val="ListLabel 54"/>
    <w:qFormat/>
    <w:rPr>
      <w:sz w:val="20"/>
    </w:rPr>
  </w:style>
  <w:style w:type="character" w:styleId="ListLabel55">
    <w:name w:val="ListLabel 55"/>
    <w:qFormat/>
    <w:rPr>
      <w:rFonts w:ascii="Noto Sans" w:hAnsi="Noto Sans" w:eastAsia="Calibri"/>
      <w:sz w:val="20"/>
    </w:rPr>
  </w:style>
  <w:style w:type="character" w:styleId="ListLabel56">
    <w:name w:val="ListLabel 56"/>
    <w:qFormat/>
    <w:rPr>
      <w:sz w:val="20"/>
    </w:rPr>
  </w:style>
  <w:style w:type="character" w:styleId="ListLabel57">
    <w:name w:val="ListLabel 57"/>
    <w:qFormat/>
    <w:rPr>
      <w:sz w:val="20"/>
    </w:rPr>
  </w:style>
  <w:style w:type="character" w:styleId="ListLabel58">
    <w:name w:val="ListLabel 58"/>
    <w:qFormat/>
    <w:rPr>
      <w:sz w:val="20"/>
    </w:rPr>
  </w:style>
  <w:style w:type="character" w:styleId="ListLabel59">
    <w:name w:val="ListLabel 59"/>
    <w:qFormat/>
    <w:rPr>
      <w:sz w:val="20"/>
    </w:rPr>
  </w:style>
  <w:style w:type="character" w:styleId="ListLabel60">
    <w:name w:val="ListLabel 60"/>
    <w:qFormat/>
    <w:rPr>
      <w:sz w:val="20"/>
    </w:rPr>
  </w:style>
  <w:style w:type="character" w:styleId="ListLabel61">
    <w:name w:val="ListLabel 61"/>
    <w:qFormat/>
    <w:rPr>
      <w:sz w:val="20"/>
    </w:rPr>
  </w:style>
  <w:style w:type="character" w:styleId="ListLabel62">
    <w:name w:val="ListLabel 62"/>
    <w:qFormat/>
    <w:rPr>
      <w:sz w:val="20"/>
    </w:rPr>
  </w:style>
  <w:style w:type="character" w:styleId="ListLabel63">
    <w:name w:val="ListLabel 63"/>
    <w:qFormat/>
    <w:rPr>
      <w:sz w:val="20"/>
    </w:rPr>
  </w:style>
  <w:style w:type="character" w:styleId="ListLabel64">
    <w:name w:val="ListLabel 64"/>
    <w:qFormat/>
    <w:rPr>
      <w:rFonts w:ascii="Noto Sans" w:hAnsi="Noto Sans"/>
      <w:i/>
      <w:sz w:val="20"/>
      <w:szCs w:val="20"/>
    </w:rPr>
  </w:style>
  <w:style w:type="character" w:styleId="ListLabel65">
    <w:name w:val="ListLabel 65"/>
    <w:qFormat/>
    <w:rPr>
      <w:sz w:val="20"/>
    </w:rPr>
  </w:style>
  <w:style w:type="character" w:styleId="ListLabel66">
    <w:name w:val="ListLabel 66"/>
    <w:qFormat/>
    <w:rPr>
      <w:rFonts w:ascii="Noto Sans" w:hAnsi="Noto Sans"/>
      <w:sz w:val="20"/>
    </w:rPr>
  </w:style>
  <w:style w:type="character" w:styleId="ListLabel67">
    <w:name w:val="ListLabel 67"/>
    <w:qFormat/>
    <w:rPr>
      <w:sz w:val="20"/>
    </w:rPr>
  </w:style>
  <w:style w:type="character" w:styleId="ListLabel68">
    <w:name w:val="ListLabel 68"/>
    <w:qFormat/>
    <w:rPr>
      <w:sz w:val="20"/>
    </w:rPr>
  </w:style>
  <w:style w:type="character" w:styleId="ListLabel69">
    <w:name w:val="ListLabel 69"/>
    <w:qFormat/>
    <w:rPr>
      <w:sz w:val="20"/>
    </w:rPr>
  </w:style>
  <w:style w:type="character" w:styleId="ListLabel70">
    <w:name w:val="ListLabel 70"/>
    <w:qFormat/>
    <w:rPr>
      <w:sz w:val="20"/>
    </w:rPr>
  </w:style>
  <w:style w:type="character" w:styleId="ListLabel71">
    <w:name w:val="ListLabel 71"/>
    <w:qFormat/>
    <w:rPr>
      <w:sz w:val="20"/>
    </w:rPr>
  </w:style>
  <w:style w:type="character" w:styleId="ListLabel72">
    <w:name w:val="ListLabel 72"/>
    <w:qFormat/>
    <w:rPr>
      <w:sz w:val="20"/>
    </w:rPr>
  </w:style>
  <w:style w:type="character" w:styleId="ListLabel73">
    <w:name w:val="ListLabel 73"/>
    <w:qFormat/>
    <w:rPr>
      <w:sz w:val="20"/>
    </w:rPr>
  </w:style>
  <w:style w:type="character" w:styleId="ListLabel74">
    <w:name w:val="ListLabel 74"/>
    <w:qFormat/>
    <w:rPr>
      <w:sz w:val="20"/>
    </w:rPr>
  </w:style>
  <w:style w:type="character" w:styleId="ListLabel75">
    <w:name w:val="ListLabel 75"/>
    <w:qFormat/>
    <w:rPr>
      <w:sz w:val="20"/>
    </w:rPr>
  </w:style>
  <w:style w:type="character" w:styleId="ListLabel76">
    <w:name w:val="ListLabel 76"/>
    <w:qFormat/>
    <w:rPr>
      <w:sz w:val="20"/>
    </w:rPr>
  </w:style>
  <w:style w:type="character" w:styleId="ListLabel77">
    <w:name w:val="ListLabel 77"/>
    <w:qFormat/>
    <w:rPr>
      <w:sz w:val="20"/>
    </w:rPr>
  </w:style>
  <w:style w:type="character" w:styleId="ListLabel78">
    <w:name w:val="ListLabel 78"/>
    <w:qFormat/>
    <w:rPr>
      <w:sz w:val="20"/>
    </w:rPr>
  </w:style>
  <w:style w:type="character" w:styleId="ListLabel79">
    <w:name w:val="ListLabel 79"/>
    <w:qFormat/>
    <w:rPr>
      <w:sz w:val="20"/>
    </w:rPr>
  </w:style>
  <w:style w:type="character" w:styleId="ListLabel80">
    <w:name w:val="ListLabel 80"/>
    <w:qFormat/>
    <w:rPr>
      <w:sz w:val="20"/>
    </w:rPr>
  </w:style>
  <w:style w:type="character" w:styleId="ListLabel81">
    <w:name w:val="ListLabel 81"/>
    <w:qFormat/>
    <w:rPr>
      <w:sz w:val="20"/>
    </w:rPr>
  </w:style>
  <w:style w:type="character" w:styleId="ListLabel82">
    <w:name w:val="ListLabel 82"/>
    <w:qFormat/>
    <w:rPr>
      <w:sz w:val="20"/>
    </w:rPr>
  </w:style>
  <w:style w:type="character" w:styleId="ListLabel83">
    <w:name w:val="ListLabel 83"/>
    <w:qFormat/>
    <w:rPr>
      <w:sz w:val="20"/>
    </w:rPr>
  </w:style>
  <w:style w:type="character" w:styleId="ListLabel84">
    <w:name w:val="ListLabel 84"/>
    <w:qFormat/>
    <w:rPr>
      <w:sz w:val="20"/>
    </w:rPr>
  </w:style>
  <w:style w:type="character" w:styleId="ListLabel85">
    <w:name w:val="ListLabel 85"/>
    <w:qFormat/>
    <w:rPr>
      <w:sz w:val="20"/>
    </w:rPr>
  </w:style>
  <w:style w:type="character" w:styleId="ListLabel86">
    <w:name w:val="ListLabel 86"/>
    <w:qFormat/>
    <w:rPr>
      <w:sz w:val="20"/>
    </w:rPr>
  </w:style>
  <w:style w:type="character" w:styleId="ListLabel87">
    <w:name w:val="ListLabel 87"/>
    <w:qFormat/>
    <w:rPr>
      <w:sz w:val="20"/>
    </w:rPr>
  </w:style>
  <w:style w:type="character" w:styleId="ListLabel88">
    <w:name w:val="ListLabel 88"/>
    <w:qFormat/>
    <w:rPr>
      <w:sz w:val="20"/>
    </w:rPr>
  </w:style>
  <w:style w:type="character" w:styleId="ListLabel89">
    <w:name w:val="ListLabel 89"/>
    <w:qFormat/>
    <w:rPr>
      <w:sz w:val="20"/>
    </w:rPr>
  </w:style>
  <w:style w:type="character" w:styleId="ListLabel90">
    <w:name w:val="ListLabel 90"/>
    <w:qFormat/>
    <w:rPr>
      <w:sz w:val="20"/>
    </w:rPr>
  </w:style>
  <w:style w:type="character" w:styleId="ListLabel91">
    <w:name w:val="ListLabel 91"/>
    <w:qFormat/>
    <w:rPr>
      <w:sz w:val="20"/>
    </w:rPr>
  </w:style>
  <w:style w:type="character" w:styleId="ListLabel92">
    <w:name w:val="ListLabel 92"/>
    <w:qFormat/>
    <w:rPr>
      <w:sz w:val="20"/>
    </w:rPr>
  </w:style>
  <w:style w:type="character" w:styleId="ListLabel93">
    <w:name w:val="ListLabel 93"/>
    <w:qFormat/>
    <w:rPr>
      <w:sz w:val="20"/>
    </w:rPr>
  </w:style>
  <w:style w:type="character" w:styleId="ListLabel94">
    <w:name w:val="ListLabel 94"/>
    <w:qFormat/>
    <w:rPr>
      <w:sz w:val="20"/>
    </w:rPr>
  </w:style>
  <w:style w:type="character" w:styleId="ListLabel95">
    <w:name w:val="ListLabel 95"/>
    <w:qFormat/>
    <w:rPr>
      <w:sz w:val="20"/>
    </w:rPr>
  </w:style>
  <w:style w:type="character" w:styleId="ListLabel96">
    <w:name w:val="ListLabel 96"/>
    <w:qFormat/>
    <w:rPr>
      <w:sz w:val="20"/>
    </w:rPr>
  </w:style>
  <w:style w:type="character" w:styleId="ListLabel97">
    <w:name w:val="ListLabel 97"/>
    <w:qFormat/>
    <w:rPr>
      <w:sz w:val="20"/>
    </w:rPr>
  </w:style>
  <w:style w:type="character" w:styleId="ListLabel98">
    <w:name w:val="ListLabel 98"/>
    <w:qFormat/>
    <w:rPr>
      <w:sz w:val="20"/>
    </w:rPr>
  </w:style>
  <w:style w:type="character" w:styleId="ListLabel99">
    <w:name w:val="ListLabel 99"/>
    <w:qFormat/>
    <w:rPr>
      <w:sz w:val="20"/>
    </w:rPr>
  </w:style>
  <w:style w:type="character" w:styleId="ListLabel100">
    <w:name w:val="ListLabel 100"/>
    <w:qFormat/>
    <w:rPr>
      <w:sz w:val="20"/>
    </w:rPr>
  </w:style>
  <w:style w:type="character" w:styleId="ListLabel101">
    <w:name w:val="ListLabel 101"/>
    <w:qFormat/>
    <w:rPr>
      <w:sz w:val="20"/>
    </w:rPr>
  </w:style>
  <w:style w:type="character" w:styleId="ListLabel102">
    <w:name w:val="ListLabel 102"/>
    <w:qFormat/>
    <w:rPr>
      <w:sz w:val="20"/>
    </w:rPr>
  </w:style>
  <w:style w:type="character" w:styleId="ListLabel103">
    <w:name w:val="ListLabel 103"/>
    <w:qFormat/>
    <w:rPr>
      <w:sz w:val="20"/>
    </w:rPr>
  </w:style>
  <w:style w:type="character" w:styleId="ListLabel104">
    <w:name w:val="ListLabel 104"/>
    <w:qFormat/>
    <w:rPr>
      <w:sz w:val="20"/>
    </w:rPr>
  </w:style>
  <w:style w:type="character" w:styleId="ListLabel105">
    <w:name w:val="ListLabel 105"/>
    <w:qFormat/>
    <w:rPr>
      <w:sz w:val="20"/>
    </w:rPr>
  </w:style>
  <w:style w:type="character" w:styleId="ListLabel106">
    <w:name w:val="ListLabel 106"/>
    <w:qFormat/>
    <w:rPr>
      <w:sz w:val="20"/>
    </w:rPr>
  </w:style>
  <w:style w:type="character" w:styleId="ListLabel107">
    <w:name w:val="ListLabel 107"/>
    <w:qFormat/>
    <w:rPr>
      <w:sz w:val="20"/>
    </w:rPr>
  </w:style>
  <w:style w:type="character" w:styleId="ListLabel108">
    <w:name w:val="ListLabel 108"/>
    <w:qFormat/>
    <w:rPr>
      <w:sz w:val="20"/>
    </w:rPr>
  </w:style>
  <w:style w:type="character" w:styleId="ListLabel109">
    <w:name w:val="ListLabel 109"/>
    <w:qFormat/>
    <w:rPr>
      <w:sz w:val="20"/>
    </w:rPr>
  </w:style>
  <w:style w:type="character" w:styleId="ListLabel110">
    <w:name w:val="ListLabel 110"/>
    <w:qFormat/>
    <w:rPr>
      <w:rFonts w:ascii="Noto Sans" w:hAnsi="Noto Sans"/>
      <w:sz w:val="20"/>
    </w:rPr>
  </w:style>
  <w:style w:type="character" w:styleId="ListLabel111">
    <w:name w:val="ListLabel 111"/>
    <w:qFormat/>
    <w:rPr>
      <w:sz w:val="20"/>
    </w:rPr>
  </w:style>
  <w:style w:type="character" w:styleId="ListLabel112">
    <w:name w:val="ListLabel 112"/>
    <w:qFormat/>
    <w:rPr>
      <w:sz w:val="20"/>
    </w:rPr>
  </w:style>
  <w:style w:type="character" w:styleId="ListLabel113">
    <w:name w:val="ListLabel 113"/>
    <w:qFormat/>
    <w:rPr>
      <w:sz w:val="20"/>
    </w:rPr>
  </w:style>
  <w:style w:type="character" w:styleId="ListLabel114">
    <w:name w:val="ListLabel 114"/>
    <w:qFormat/>
    <w:rPr>
      <w:sz w:val="20"/>
    </w:rPr>
  </w:style>
  <w:style w:type="character" w:styleId="ListLabel115">
    <w:name w:val="ListLabel 115"/>
    <w:qFormat/>
    <w:rPr>
      <w:sz w:val="20"/>
    </w:rPr>
  </w:style>
  <w:style w:type="character" w:styleId="ListLabel116">
    <w:name w:val="ListLabel 116"/>
    <w:qFormat/>
    <w:rPr>
      <w:sz w:val="20"/>
    </w:rPr>
  </w:style>
  <w:style w:type="character" w:styleId="ListLabel117">
    <w:name w:val="ListLabel 117"/>
    <w:qFormat/>
    <w:rPr>
      <w:sz w:val="20"/>
    </w:rPr>
  </w:style>
  <w:style w:type="character" w:styleId="ListLabel118">
    <w:name w:val="ListLabel 118"/>
    <w:qFormat/>
    <w:rPr>
      <w:sz w:val="20"/>
    </w:rPr>
  </w:style>
  <w:style w:type="character" w:styleId="ListLabel119">
    <w:name w:val="ListLabel 119"/>
    <w:qFormat/>
    <w:rPr>
      <w:sz w:val="20"/>
    </w:rPr>
  </w:style>
  <w:style w:type="character" w:styleId="ListLabel120">
    <w:name w:val="ListLabel 120"/>
    <w:qFormat/>
    <w:rPr>
      <w:sz w:val="20"/>
    </w:rPr>
  </w:style>
  <w:style w:type="character" w:styleId="ListLabel121">
    <w:name w:val="ListLabel 121"/>
    <w:qFormat/>
    <w:rPr>
      <w:sz w:val="20"/>
    </w:rPr>
  </w:style>
  <w:style w:type="character" w:styleId="ListLabel122">
    <w:name w:val="ListLabel 122"/>
    <w:qFormat/>
    <w:rPr>
      <w:sz w:val="20"/>
    </w:rPr>
  </w:style>
  <w:style w:type="character" w:styleId="ListLabel123">
    <w:name w:val="ListLabel 123"/>
    <w:qFormat/>
    <w:rPr>
      <w:sz w:val="20"/>
    </w:rPr>
  </w:style>
  <w:style w:type="character" w:styleId="ListLabel124">
    <w:name w:val="ListLabel 124"/>
    <w:qFormat/>
    <w:rPr>
      <w:sz w:val="20"/>
    </w:rPr>
  </w:style>
  <w:style w:type="character" w:styleId="ListLabel125">
    <w:name w:val="ListLabel 125"/>
    <w:qFormat/>
    <w:rPr>
      <w:sz w:val="20"/>
    </w:rPr>
  </w:style>
  <w:style w:type="character" w:styleId="ListLabel126">
    <w:name w:val="ListLabel 126"/>
    <w:qFormat/>
    <w:rPr>
      <w:sz w:val="20"/>
    </w:rPr>
  </w:style>
  <w:style w:type="character" w:styleId="ListLabel127">
    <w:name w:val="ListLabel 127"/>
    <w:qFormat/>
    <w:rPr>
      <w:sz w:val="20"/>
    </w:rPr>
  </w:style>
  <w:style w:type="character" w:styleId="ListLabel128">
    <w:name w:val="ListLabel 128"/>
    <w:qFormat/>
    <w:rPr>
      <w:sz w:val="20"/>
    </w:rPr>
  </w:style>
  <w:style w:type="character" w:styleId="ListLabel129">
    <w:name w:val="ListLabel 129"/>
    <w:qFormat/>
    <w:rPr>
      <w:sz w:val="20"/>
    </w:rPr>
  </w:style>
  <w:style w:type="character" w:styleId="ListLabel130">
    <w:name w:val="ListLabel 130"/>
    <w:qFormat/>
    <w:rPr>
      <w:sz w:val="20"/>
    </w:rPr>
  </w:style>
  <w:style w:type="character" w:styleId="ListLabel131">
    <w:name w:val="ListLabel 131"/>
    <w:qFormat/>
    <w:rPr>
      <w:sz w:val="20"/>
    </w:rPr>
  </w:style>
  <w:style w:type="character" w:styleId="ListLabel132">
    <w:name w:val="ListLabel 132"/>
    <w:qFormat/>
    <w:rPr>
      <w:sz w:val="20"/>
    </w:rPr>
  </w:style>
  <w:style w:type="character" w:styleId="ListLabel133">
    <w:name w:val="ListLabel 133"/>
    <w:qFormat/>
    <w:rPr>
      <w:sz w:val="20"/>
    </w:rPr>
  </w:style>
  <w:style w:type="character" w:styleId="ListLabel134">
    <w:name w:val="ListLabel 134"/>
    <w:qFormat/>
    <w:rPr>
      <w:sz w:val="20"/>
    </w:rPr>
  </w:style>
  <w:style w:type="character" w:styleId="ListLabel135">
    <w:name w:val="ListLabel 135"/>
    <w:qFormat/>
    <w:rPr>
      <w:sz w:val="20"/>
    </w:rPr>
  </w:style>
  <w:style w:type="character" w:styleId="ListLabel136">
    <w:name w:val="ListLabel 136"/>
    <w:qFormat/>
    <w:rPr>
      <w:sz w:val="20"/>
    </w:rPr>
  </w:style>
  <w:style w:type="character" w:styleId="Caracteresdenotaalpie">
    <w:name w:val="Caracteres de nota al pie"/>
    <w:qFormat/>
    <w:rPr/>
  </w:style>
  <w:style w:type="character" w:styleId="Ancladenotafinal">
    <w:name w:val="Ancla de nota final"/>
    <w:rPr>
      <w:vertAlign w:val="superscript"/>
    </w:rPr>
  </w:style>
  <w:style w:type="character" w:styleId="Caracteresdenotafinal">
    <w:name w:val="Caracteres de nota final"/>
    <w:qFormat/>
    <w:rPr/>
  </w:style>
  <w:style w:type="character" w:styleId="ListLabel137">
    <w:name w:val="ListLabel 137"/>
    <w:qFormat/>
    <w:rPr>
      <w:rFonts w:cs="Symbol"/>
      <w:sz w:val="20"/>
    </w:rPr>
  </w:style>
  <w:style w:type="character" w:styleId="ListLabel138">
    <w:name w:val="ListLabel 138"/>
    <w:qFormat/>
    <w:rPr>
      <w:rFonts w:ascii="Noto Sans" w:hAnsi="Noto Sans" w:cs="Symbol"/>
      <w:sz w:val="20"/>
    </w:rPr>
  </w:style>
  <w:style w:type="character" w:styleId="ListLabel139">
    <w:name w:val="ListLabel 139"/>
    <w:qFormat/>
    <w:rPr>
      <w:rFonts w:cs="Wingdings"/>
      <w:sz w:val="20"/>
    </w:rPr>
  </w:style>
  <w:style w:type="character" w:styleId="ListLabel140">
    <w:name w:val="ListLabel 140"/>
    <w:qFormat/>
    <w:rPr>
      <w:rFonts w:cs="Wingdings"/>
      <w:sz w:val="20"/>
    </w:rPr>
  </w:style>
  <w:style w:type="character" w:styleId="ListLabel141">
    <w:name w:val="ListLabel 141"/>
    <w:qFormat/>
    <w:rPr>
      <w:rFonts w:cs="Wingdings"/>
      <w:sz w:val="20"/>
    </w:rPr>
  </w:style>
  <w:style w:type="character" w:styleId="ListLabel142">
    <w:name w:val="ListLabel 142"/>
    <w:qFormat/>
    <w:rPr>
      <w:rFonts w:cs="Wingdings"/>
      <w:sz w:val="20"/>
    </w:rPr>
  </w:style>
  <w:style w:type="character" w:styleId="ListLabel143">
    <w:name w:val="ListLabel 143"/>
    <w:qFormat/>
    <w:rPr>
      <w:rFonts w:cs="Wingdings"/>
      <w:sz w:val="20"/>
    </w:rPr>
  </w:style>
  <w:style w:type="character" w:styleId="ListLabel144">
    <w:name w:val="ListLabel 144"/>
    <w:qFormat/>
    <w:rPr>
      <w:rFonts w:cs="Wingdings"/>
      <w:sz w:val="20"/>
    </w:rPr>
  </w:style>
  <w:style w:type="character" w:styleId="ListLabel145">
    <w:name w:val="ListLabel 145"/>
    <w:qFormat/>
    <w:rPr>
      <w:rFonts w:cs="Wingdings"/>
      <w:sz w:val="20"/>
    </w:rPr>
  </w:style>
  <w:style w:type="character" w:styleId="ListLabel146">
    <w:name w:val="ListLabel 146"/>
    <w:qFormat/>
    <w:rPr>
      <w:rFonts w:ascii="Noto Sans" w:hAnsi="Noto Sans" w:cs="Noto Sans"/>
      <w:sz w:val="20"/>
    </w:rPr>
  </w:style>
  <w:style w:type="character" w:styleId="ListLabel147">
    <w:name w:val="ListLabel 147"/>
    <w:qFormat/>
    <w:rPr>
      <w:rFonts w:cs="Courier New"/>
      <w:sz w:val="20"/>
    </w:rPr>
  </w:style>
  <w:style w:type="character" w:styleId="ListLabel148">
    <w:name w:val="ListLabel 148"/>
    <w:qFormat/>
    <w:rPr>
      <w:rFonts w:cs="Wingdings"/>
      <w:sz w:val="20"/>
    </w:rPr>
  </w:style>
  <w:style w:type="character" w:styleId="ListLabel149">
    <w:name w:val="ListLabel 149"/>
    <w:qFormat/>
    <w:rPr>
      <w:rFonts w:cs="Wingdings"/>
      <w:sz w:val="20"/>
    </w:rPr>
  </w:style>
  <w:style w:type="character" w:styleId="ListLabel150">
    <w:name w:val="ListLabel 150"/>
    <w:qFormat/>
    <w:rPr>
      <w:rFonts w:cs="Wingdings"/>
      <w:sz w:val="20"/>
    </w:rPr>
  </w:style>
  <w:style w:type="character" w:styleId="ListLabel151">
    <w:name w:val="ListLabel 151"/>
    <w:qFormat/>
    <w:rPr>
      <w:rFonts w:cs="Wingdings"/>
      <w:sz w:val="20"/>
    </w:rPr>
  </w:style>
  <w:style w:type="character" w:styleId="ListLabel152">
    <w:name w:val="ListLabel 152"/>
    <w:qFormat/>
    <w:rPr>
      <w:rFonts w:cs="Wingdings"/>
      <w:sz w:val="20"/>
    </w:rPr>
  </w:style>
  <w:style w:type="character" w:styleId="ListLabel153">
    <w:name w:val="ListLabel 153"/>
    <w:qFormat/>
    <w:rPr>
      <w:rFonts w:cs="Wingdings"/>
      <w:sz w:val="20"/>
    </w:rPr>
  </w:style>
  <w:style w:type="character" w:styleId="ListLabel154">
    <w:name w:val="ListLabel 154"/>
    <w:qFormat/>
    <w:rPr>
      <w:rFonts w:cs="Wingdings"/>
      <w:sz w:val="20"/>
    </w:rPr>
  </w:style>
  <w:style w:type="character" w:styleId="ListLabel155">
    <w:name w:val="ListLabel 155"/>
    <w:qFormat/>
    <w:rPr>
      <w:rFonts w:ascii="Noto Sans" w:hAnsi="Noto Sans"/>
      <w:i/>
      <w:sz w:val="20"/>
      <w:szCs w:val="20"/>
    </w:rPr>
  </w:style>
  <w:style w:type="character" w:styleId="ListLabel156">
    <w:name w:val="ListLabel 156"/>
    <w:qFormat/>
    <w:rPr>
      <w:rFonts w:cs="Symbol"/>
      <w:sz w:val="20"/>
    </w:rPr>
  </w:style>
  <w:style w:type="character" w:styleId="ListLabel157">
    <w:name w:val="ListLabel 157"/>
    <w:qFormat/>
    <w:rPr>
      <w:rFonts w:ascii="Noto Sans" w:hAnsi="Noto Sans" w:cs="Noto Sans"/>
      <w:sz w:val="20"/>
    </w:rPr>
  </w:style>
  <w:style w:type="character" w:styleId="ListLabel158">
    <w:name w:val="ListLabel 158"/>
    <w:qFormat/>
    <w:rPr>
      <w:rFonts w:cs="Wingdings"/>
      <w:sz w:val="20"/>
    </w:rPr>
  </w:style>
  <w:style w:type="character" w:styleId="ListLabel159">
    <w:name w:val="ListLabel 159"/>
    <w:qFormat/>
    <w:rPr>
      <w:rFonts w:cs="Wingdings"/>
      <w:sz w:val="20"/>
    </w:rPr>
  </w:style>
  <w:style w:type="character" w:styleId="ListLabel160">
    <w:name w:val="ListLabel 160"/>
    <w:qFormat/>
    <w:rPr>
      <w:rFonts w:cs="Wingdings"/>
      <w:sz w:val="20"/>
    </w:rPr>
  </w:style>
  <w:style w:type="character" w:styleId="ListLabel161">
    <w:name w:val="ListLabel 161"/>
    <w:qFormat/>
    <w:rPr>
      <w:rFonts w:cs="Wingdings"/>
      <w:sz w:val="20"/>
    </w:rPr>
  </w:style>
  <w:style w:type="character" w:styleId="ListLabel162">
    <w:name w:val="ListLabel 162"/>
    <w:qFormat/>
    <w:rPr>
      <w:rFonts w:cs="Wingdings"/>
      <w:sz w:val="20"/>
    </w:rPr>
  </w:style>
  <w:style w:type="character" w:styleId="ListLabel163">
    <w:name w:val="ListLabel 163"/>
    <w:qFormat/>
    <w:rPr>
      <w:rFonts w:cs="Wingdings"/>
      <w:sz w:val="20"/>
    </w:rPr>
  </w:style>
  <w:style w:type="character" w:styleId="ListLabel164">
    <w:name w:val="ListLabel 164"/>
    <w:qFormat/>
    <w:rPr>
      <w:rFonts w:cs="Wingdings"/>
      <w:sz w:val="20"/>
    </w:rPr>
  </w:style>
  <w:style w:type="character" w:styleId="ListLabel165">
    <w:name w:val="ListLabel 165"/>
    <w:qFormat/>
    <w:rPr>
      <w:rFonts w:ascii="Noto Sans" w:hAnsi="Noto Sans" w:cs="Symbol"/>
      <w:sz w:val="20"/>
    </w:rPr>
  </w:style>
  <w:style w:type="character" w:styleId="ListLabel166">
    <w:name w:val="ListLabel 166"/>
    <w:qFormat/>
    <w:rPr>
      <w:rFonts w:cs="Courier New"/>
      <w:sz w:val="20"/>
    </w:rPr>
  </w:style>
  <w:style w:type="character" w:styleId="ListLabel167">
    <w:name w:val="ListLabel 167"/>
    <w:qFormat/>
    <w:rPr>
      <w:rFonts w:cs="Wingdings"/>
      <w:sz w:val="20"/>
    </w:rPr>
  </w:style>
  <w:style w:type="character" w:styleId="ListLabel168">
    <w:name w:val="ListLabel 168"/>
    <w:qFormat/>
    <w:rPr>
      <w:rFonts w:cs="Wingdings"/>
      <w:sz w:val="20"/>
    </w:rPr>
  </w:style>
  <w:style w:type="character" w:styleId="ListLabel169">
    <w:name w:val="ListLabel 169"/>
    <w:qFormat/>
    <w:rPr>
      <w:rFonts w:cs="Wingdings"/>
      <w:sz w:val="20"/>
    </w:rPr>
  </w:style>
  <w:style w:type="character" w:styleId="ListLabel170">
    <w:name w:val="ListLabel 170"/>
    <w:qFormat/>
    <w:rPr>
      <w:rFonts w:cs="Wingdings"/>
      <w:sz w:val="20"/>
    </w:rPr>
  </w:style>
  <w:style w:type="character" w:styleId="ListLabel171">
    <w:name w:val="ListLabel 171"/>
    <w:qFormat/>
    <w:rPr>
      <w:rFonts w:cs="Wingdings"/>
      <w:sz w:val="20"/>
    </w:rPr>
  </w:style>
  <w:style w:type="character" w:styleId="ListLabel172">
    <w:name w:val="ListLabel 172"/>
    <w:qFormat/>
    <w:rPr>
      <w:rFonts w:cs="Wingdings"/>
      <w:sz w:val="20"/>
    </w:rPr>
  </w:style>
  <w:style w:type="character" w:styleId="ListLabel173">
    <w:name w:val="ListLabel 173"/>
    <w:qFormat/>
    <w:rPr>
      <w:rFonts w:cs="Wingdings"/>
      <w:sz w:val="20"/>
    </w:rPr>
  </w:style>
  <w:style w:type="character" w:styleId="ListLabel174">
    <w:name w:val="ListLabel 174"/>
    <w:qFormat/>
    <w:rPr>
      <w:rFonts w:cs="Symbol"/>
      <w:sz w:val="20"/>
    </w:rPr>
  </w:style>
  <w:style w:type="character" w:styleId="ListLabel175">
    <w:name w:val="ListLabel 175"/>
    <w:qFormat/>
    <w:rPr>
      <w:rFonts w:ascii="Noto Sans" w:hAnsi="Noto Sans" w:cs="Symbol"/>
      <w:sz w:val="20"/>
    </w:rPr>
  </w:style>
  <w:style w:type="character" w:styleId="ListLabel176">
    <w:name w:val="ListLabel 176"/>
    <w:qFormat/>
    <w:rPr>
      <w:rFonts w:cs="Wingdings"/>
      <w:sz w:val="20"/>
    </w:rPr>
  </w:style>
  <w:style w:type="character" w:styleId="ListLabel177">
    <w:name w:val="ListLabel 177"/>
    <w:qFormat/>
    <w:rPr>
      <w:rFonts w:cs="Wingdings"/>
      <w:sz w:val="20"/>
    </w:rPr>
  </w:style>
  <w:style w:type="character" w:styleId="ListLabel178">
    <w:name w:val="ListLabel 178"/>
    <w:qFormat/>
    <w:rPr>
      <w:rFonts w:cs="Wingdings"/>
      <w:sz w:val="20"/>
    </w:rPr>
  </w:style>
  <w:style w:type="character" w:styleId="ListLabel179">
    <w:name w:val="ListLabel 179"/>
    <w:qFormat/>
    <w:rPr>
      <w:rFonts w:cs="Wingdings"/>
      <w:sz w:val="20"/>
    </w:rPr>
  </w:style>
  <w:style w:type="character" w:styleId="ListLabel180">
    <w:name w:val="ListLabel 180"/>
    <w:qFormat/>
    <w:rPr>
      <w:rFonts w:cs="Wingdings"/>
      <w:sz w:val="20"/>
    </w:rPr>
  </w:style>
  <w:style w:type="character" w:styleId="ListLabel181">
    <w:name w:val="ListLabel 181"/>
    <w:qFormat/>
    <w:rPr>
      <w:rFonts w:cs="Wingdings"/>
      <w:sz w:val="20"/>
    </w:rPr>
  </w:style>
  <w:style w:type="character" w:styleId="ListLabel182">
    <w:name w:val="ListLabel 182"/>
    <w:qFormat/>
    <w:rPr>
      <w:rFonts w:cs="Wingdings"/>
      <w:sz w:val="20"/>
    </w:rPr>
  </w:style>
  <w:style w:type="character" w:styleId="ListLabel183">
    <w:name w:val="ListLabel 183"/>
    <w:qFormat/>
    <w:rPr>
      <w:rFonts w:ascii="Noto Sans" w:hAnsi="Noto Sans" w:cs="Noto Sans"/>
      <w:sz w:val="20"/>
    </w:rPr>
  </w:style>
  <w:style w:type="character" w:styleId="ListLabel184">
    <w:name w:val="ListLabel 184"/>
    <w:qFormat/>
    <w:rPr>
      <w:rFonts w:cs="Courier New"/>
      <w:sz w:val="20"/>
    </w:rPr>
  </w:style>
  <w:style w:type="character" w:styleId="ListLabel185">
    <w:name w:val="ListLabel 185"/>
    <w:qFormat/>
    <w:rPr>
      <w:rFonts w:cs="Wingdings"/>
      <w:sz w:val="20"/>
    </w:rPr>
  </w:style>
  <w:style w:type="character" w:styleId="ListLabel186">
    <w:name w:val="ListLabel 186"/>
    <w:qFormat/>
    <w:rPr>
      <w:rFonts w:cs="Wingdings"/>
      <w:sz w:val="20"/>
    </w:rPr>
  </w:style>
  <w:style w:type="character" w:styleId="ListLabel187">
    <w:name w:val="ListLabel 187"/>
    <w:qFormat/>
    <w:rPr>
      <w:rFonts w:cs="Wingdings"/>
      <w:sz w:val="20"/>
    </w:rPr>
  </w:style>
  <w:style w:type="character" w:styleId="ListLabel188">
    <w:name w:val="ListLabel 188"/>
    <w:qFormat/>
    <w:rPr>
      <w:rFonts w:cs="Wingdings"/>
      <w:sz w:val="20"/>
    </w:rPr>
  </w:style>
  <w:style w:type="character" w:styleId="ListLabel189">
    <w:name w:val="ListLabel 189"/>
    <w:qFormat/>
    <w:rPr>
      <w:rFonts w:cs="Wingdings"/>
      <w:sz w:val="20"/>
    </w:rPr>
  </w:style>
  <w:style w:type="character" w:styleId="ListLabel190">
    <w:name w:val="ListLabel 190"/>
    <w:qFormat/>
    <w:rPr>
      <w:rFonts w:cs="Wingdings"/>
      <w:sz w:val="20"/>
    </w:rPr>
  </w:style>
  <w:style w:type="character" w:styleId="ListLabel191">
    <w:name w:val="ListLabel 191"/>
    <w:qFormat/>
    <w:rPr>
      <w:rFonts w:cs="Wingdings"/>
      <w:sz w:val="20"/>
    </w:rPr>
  </w:style>
  <w:style w:type="character" w:styleId="ListLabel192">
    <w:name w:val="ListLabel 192"/>
    <w:qFormat/>
    <w:rPr>
      <w:rFonts w:ascii="Noto Sans" w:hAnsi="Noto Sans"/>
      <w:i/>
      <w:sz w:val="20"/>
      <w:szCs w:val="20"/>
    </w:rPr>
  </w:style>
  <w:style w:type="character" w:styleId="ListLabel193">
    <w:name w:val="ListLabel 193"/>
    <w:qFormat/>
    <w:rPr>
      <w:rFonts w:cs="Symbol"/>
      <w:sz w:val="20"/>
    </w:rPr>
  </w:style>
  <w:style w:type="character" w:styleId="ListLabel194">
    <w:name w:val="ListLabel 194"/>
    <w:qFormat/>
    <w:rPr>
      <w:rFonts w:ascii="Noto Sans" w:hAnsi="Noto Sans" w:cs="Noto Sans"/>
      <w:sz w:val="20"/>
    </w:rPr>
  </w:style>
  <w:style w:type="character" w:styleId="ListLabel195">
    <w:name w:val="ListLabel 195"/>
    <w:qFormat/>
    <w:rPr>
      <w:rFonts w:cs="Wingdings"/>
      <w:sz w:val="20"/>
    </w:rPr>
  </w:style>
  <w:style w:type="character" w:styleId="ListLabel196">
    <w:name w:val="ListLabel 196"/>
    <w:qFormat/>
    <w:rPr>
      <w:rFonts w:cs="Wingdings"/>
      <w:sz w:val="20"/>
    </w:rPr>
  </w:style>
  <w:style w:type="character" w:styleId="ListLabel197">
    <w:name w:val="ListLabel 197"/>
    <w:qFormat/>
    <w:rPr>
      <w:rFonts w:cs="Wingdings"/>
      <w:sz w:val="20"/>
    </w:rPr>
  </w:style>
  <w:style w:type="character" w:styleId="ListLabel198">
    <w:name w:val="ListLabel 198"/>
    <w:qFormat/>
    <w:rPr>
      <w:rFonts w:cs="Wingdings"/>
      <w:sz w:val="20"/>
    </w:rPr>
  </w:style>
  <w:style w:type="character" w:styleId="ListLabel199">
    <w:name w:val="ListLabel 199"/>
    <w:qFormat/>
    <w:rPr>
      <w:rFonts w:cs="Wingdings"/>
      <w:sz w:val="20"/>
    </w:rPr>
  </w:style>
  <w:style w:type="character" w:styleId="ListLabel200">
    <w:name w:val="ListLabel 200"/>
    <w:qFormat/>
    <w:rPr>
      <w:rFonts w:cs="Wingdings"/>
      <w:sz w:val="20"/>
    </w:rPr>
  </w:style>
  <w:style w:type="character" w:styleId="ListLabel201">
    <w:name w:val="ListLabel 201"/>
    <w:qFormat/>
    <w:rPr>
      <w:rFonts w:cs="Wingdings"/>
      <w:sz w:val="20"/>
    </w:rPr>
  </w:style>
  <w:style w:type="character" w:styleId="ListLabel202">
    <w:name w:val="ListLabel 202"/>
    <w:qFormat/>
    <w:rPr>
      <w:rFonts w:ascii="Noto Sans" w:hAnsi="Noto Sans" w:cs="Symbol"/>
      <w:sz w:val="20"/>
    </w:rPr>
  </w:style>
  <w:style w:type="character" w:styleId="ListLabel203">
    <w:name w:val="ListLabel 203"/>
    <w:qFormat/>
    <w:rPr>
      <w:rFonts w:cs="Courier New"/>
      <w:sz w:val="20"/>
    </w:rPr>
  </w:style>
  <w:style w:type="character" w:styleId="ListLabel204">
    <w:name w:val="ListLabel 204"/>
    <w:qFormat/>
    <w:rPr>
      <w:rFonts w:cs="Wingdings"/>
      <w:sz w:val="20"/>
    </w:rPr>
  </w:style>
  <w:style w:type="character" w:styleId="ListLabel205">
    <w:name w:val="ListLabel 205"/>
    <w:qFormat/>
    <w:rPr>
      <w:rFonts w:cs="Wingdings"/>
      <w:sz w:val="20"/>
    </w:rPr>
  </w:style>
  <w:style w:type="character" w:styleId="ListLabel206">
    <w:name w:val="ListLabel 206"/>
    <w:qFormat/>
    <w:rPr>
      <w:rFonts w:cs="Wingdings"/>
      <w:sz w:val="20"/>
    </w:rPr>
  </w:style>
  <w:style w:type="character" w:styleId="ListLabel207">
    <w:name w:val="ListLabel 207"/>
    <w:qFormat/>
    <w:rPr>
      <w:rFonts w:cs="Wingdings"/>
      <w:sz w:val="20"/>
    </w:rPr>
  </w:style>
  <w:style w:type="character" w:styleId="ListLabel208">
    <w:name w:val="ListLabel 208"/>
    <w:qFormat/>
    <w:rPr>
      <w:rFonts w:cs="Wingdings"/>
      <w:sz w:val="20"/>
    </w:rPr>
  </w:style>
  <w:style w:type="character" w:styleId="ListLabel209">
    <w:name w:val="ListLabel 209"/>
    <w:qFormat/>
    <w:rPr>
      <w:rFonts w:cs="Wingdings"/>
      <w:sz w:val="20"/>
    </w:rPr>
  </w:style>
  <w:style w:type="character" w:styleId="ListLabel210">
    <w:name w:val="ListLabel 210"/>
    <w:qFormat/>
    <w:rPr>
      <w:rFonts w:cs="Wingdings"/>
      <w:sz w:val="20"/>
    </w:rPr>
  </w:style>
  <w:style w:type="character" w:styleId="ListLabel211">
    <w:name w:val="ListLabel 211"/>
    <w:qFormat/>
    <w:rPr>
      <w:rFonts w:cs="Symbol"/>
      <w:sz w:val="20"/>
    </w:rPr>
  </w:style>
  <w:style w:type="character" w:styleId="ListLabel212">
    <w:name w:val="ListLabel 212"/>
    <w:qFormat/>
    <w:rPr>
      <w:rFonts w:ascii="Noto Sans" w:hAnsi="Noto Sans" w:cs="Symbol"/>
      <w:sz w:val="20"/>
    </w:rPr>
  </w:style>
  <w:style w:type="character" w:styleId="ListLabel213">
    <w:name w:val="ListLabel 213"/>
    <w:qFormat/>
    <w:rPr>
      <w:rFonts w:cs="Wingdings"/>
      <w:sz w:val="20"/>
    </w:rPr>
  </w:style>
  <w:style w:type="character" w:styleId="ListLabel214">
    <w:name w:val="ListLabel 214"/>
    <w:qFormat/>
    <w:rPr>
      <w:rFonts w:cs="Wingdings"/>
      <w:sz w:val="20"/>
    </w:rPr>
  </w:style>
  <w:style w:type="character" w:styleId="ListLabel215">
    <w:name w:val="ListLabel 215"/>
    <w:qFormat/>
    <w:rPr>
      <w:rFonts w:cs="Wingdings"/>
      <w:sz w:val="20"/>
    </w:rPr>
  </w:style>
  <w:style w:type="character" w:styleId="ListLabel216">
    <w:name w:val="ListLabel 216"/>
    <w:qFormat/>
    <w:rPr>
      <w:rFonts w:cs="Wingdings"/>
      <w:sz w:val="20"/>
    </w:rPr>
  </w:style>
  <w:style w:type="character" w:styleId="ListLabel217">
    <w:name w:val="ListLabel 217"/>
    <w:qFormat/>
    <w:rPr>
      <w:rFonts w:cs="Wingdings"/>
      <w:sz w:val="20"/>
    </w:rPr>
  </w:style>
  <w:style w:type="character" w:styleId="ListLabel218">
    <w:name w:val="ListLabel 218"/>
    <w:qFormat/>
    <w:rPr>
      <w:rFonts w:cs="Wingdings"/>
      <w:sz w:val="20"/>
    </w:rPr>
  </w:style>
  <w:style w:type="character" w:styleId="ListLabel219">
    <w:name w:val="ListLabel 219"/>
    <w:qFormat/>
    <w:rPr>
      <w:rFonts w:cs="Wingdings"/>
      <w:sz w:val="20"/>
    </w:rPr>
  </w:style>
  <w:style w:type="character" w:styleId="ListLabel220">
    <w:name w:val="ListLabel 220"/>
    <w:qFormat/>
    <w:rPr>
      <w:rFonts w:ascii="Noto Sans" w:hAnsi="Noto Sans" w:cs="Noto Sans"/>
      <w:sz w:val="20"/>
    </w:rPr>
  </w:style>
  <w:style w:type="character" w:styleId="ListLabel221">
    <w:name w:val="ListLabel 221"/>
    <w:qFormat/>
    <w:rPr>
      <w:rFonts w:cs="Courier New"/>
      <w:sz w:val="20"/>
    </w:rPr>
  </w:style>
  <w:style w:type="character" w:styleId="ListLabel222">
    <w:name w:val="ListLabel 222"/>
    <w:qFormat/>
    <w:rPr>
      <w:rFonts w:cs="Wingdings"/>
      <w:sz w:val="20"/>
    </w:rPr>
  </w:style>
  <w:style w:type="character" w:styleId="ListLabel223">
    <w:name w:val="ListLabel 223"/>
    <w:qFormat/>
    <w:rPr>
      <w:rFonts w:cs="Wingdings"/>
      <w:sz w:val="20"/>
    </w:rPr>
  </w:style>
  <w:style w:type="character" w:styleId="ListLabel224">
    <w:name w:val="ListLabel 224"/>
    <w:qFormat/>
    <w:rPr>
      <w:rFonts w:cs="Wingdings"/>
      <w:sz w:val="20"/>
    </w:rPr>
  </w:style>
  <w:style w:type="character" w:styleId="ListLabel225">
    <w:name w:val="ListLabel 225"/>
    <w:qFormat/>
    <w:rPr>
      <w:rFonts w:cs="Wingdings"/>
      <w:sz w:val="20"/>
    </w:rPr>
  </w:style>
  <w:style w:type="character" w:styleId="ListLabel226">
    <w:name w:val="ListLabel 226"/>
    <w:qFormat/>
    <w:rPr>
      <w:rFonts w:cs="Wingdings"/>
      <w:sz w:val="20"/>
    </w:rPr>
  </w:style>
  <w:style w:type="character" w:styleId="ListLabel227">
    <w:name w:val="ListLabel 227"/>
    <w:qFormat/>
    <w:rPr>
      <w:rFonts w:cs="Wingdings"/>
      <w:sz w:val="20"/>
    </w:rPr>
  </w:style>
  <w:style w:type="character" w:styleId="ListLabel228">
    <w:name w:val="ListLabel 228"/>
    <w:qFormat/>
    <w:rPr>
      <w:rFonts w:cs="Wingdings"/>
      <w:sz w:val="20"/>
    </w:rPr>
  </w:style>
  <w:style w:type="character" w:styleId="ListLabel229">
    <w:name w:val="ListLabel 229"/>
    <w:qFormat/>
    <w:rPr>
      <w:rFonts w:ascii="Noto Sans" w:hAnsi="Noto Sans"/>
      <w:i/>
      <w:sz w:val="20"/>
      <w:szCs w:val="20"/>
    </w:rPr>
  </w:style>
  <w:style w:type="character" w:styleId="ListLabel230">
    <w:name w:val="ListLabel 230"/>
    <w:qFormat/>
    <w:rPr>
      <w:rFonts w:cs="Symbol"/>
      <w:sz w:val="20"/>
    </w:rPr>
  </w:style>
  <w:style w:type="character" w:styleId="ListLabel231">
    <w:name w:val="ListLabel 231"/>
    <w:qFormat/>
    <w:rPr>
      <w:rFonts w:ascii="Noto Sans" w:hAnsi="Noto Sans" w:cs="Noto Sans"/>
      <w:sz w:val="20"/>
    </w:rPr>
  </w:style>
  <w:style w:type="character" w:styleId="ListLabel232">
    <w:name w:val="ListLabel 232"/>
    <w:qFormat/>
    <w:rPr>
      <w:rFonts w:cs="Wingdings"/>
      <w:sz w:val="20"/>
    </w:rPr>
  </w:style>
  <w:style w:type="character" w:styleId="ListLabel233">
    <w:name w:val="ListLabel 233"/>
    <w:qFormat/>
    <w:rPr>
      <w:rFonts w:cs="Wingdings"/>
      <w:sz w:val="20"/>
    </w:rPr>
  </w:style>
  <w:style w:type="character" w:styleId="ListLabel234">
    <w:name w:val="ListLabel 234"/>
    <w:qFormat/>
    <w:rPr>
      <w:rFonts w:cs="Wingdings"/>
      <w:sz w:val="20"/>
    </w:rPr>
  </w:style>
  <w:style w:type="character" w:styleId="ListLabel235">
    <w:name w:val="ListLabel 235"/>
    <w:qFormat/>
    <w:rPr>
      <w:rFonts w:cs="Wingdings"/>
      <w:sz w:val="20"/>
    </w:rPr>
  </w:style>
  <w:style w:type="character" w:styleId="ListLabel236">
    <w:name w:val="ListLabel 236"/>
    <w:qFormat/>
    <w:rPr>
      <w:rFonts w:cs="Wingdings"/>
      <w:sz w:val="20"/>
    </w:rPr>
  </w:style>
  <w:style w:type="character" w:styleId="ListLabel237">
    <w:name w:val="ListLabel 237"/>
    <w:qFormat/>
    <w:rPr>
      <w:rFonts w:cs="Wingdings"/>
      <w:sz w:val="20"/>
    </w:rPr>
  </w:style>
  <w:style w:type="character" w:styleId="ListLabel238">
    <w:name w:val="ListLabel 238"/>
    <w:qFormat/>
    <w:rPr>
      <w:rFonts w:cs="Wingdings"/>
      <w:sz w:val="20"/>
    </w:rPr>
  </w:style>
  <w:style w:type="character" w:styleId="ListLabel239">
    <w:name w:val="ListLabel 239"/>
    <w:qFormat/>
    <w:rPr>
      <w:rFonts w:ascii="Noto Sans" w:hAnsi="Noto Sans" w:cs="Symbol"/>
      <w:sz w:val="20"/>
    </w:rPr>
  </w:style>
  <w:style w:type="character" w:styleId="ListLabel240">
    <w:name w:val="ListLabel 240"/>
    <w:qFormat/>
    <w:rPr>
      <w:rFonts w:cs="Courier New"/>
      <w:sz w:val="20"/>
    </w:rPr>
  </w:style>
  <w:style w:type="character" w:styleId="ListLabel241">
    <w:name w:val="ListLabel 241"/>
    <w:qFormat/>
    <w:rPr>
      <w:rFonts w:cs="Wingdings"/>
      <w:sz w:val="20"/>
    </w:rPr>
  </w:style>
  <w:style w:type="character" w:styleId="ListLabel242">
    <w:name w:val="ListLabel 242"/>
    <w:qFormat/>
    <w:rPr>
      <w:rFonts w:cs="Wingdings"/>
      <w:sz w:val="20"/>
    </w:rPr>
  </w:style>
  <w:style w:type="character" w:styleId="ListLabel243">
    <w:name w:val="ListLabel 243"/>
    <w:qFormat/>
    <w:rPr>
      <w:rFonts w:cs="Wingdings"/>
      <w:sz w:val="20"/>
    </w:rPr>
  </w:style>
  <w:style w:type="character" w:styleId="ListLabel244">
    <w:name w:val="ListLabel 244"/>
    <w:qFormat/>
    <w:rPr>
      <w:rFonts w:cs="Wingdings"/>
      <w:sz w:val="20"/>
    </w:rPr>
  </w:style>
  <w:style w:type="character" w:styleId="ListLabel245">
    <w:name w:val="ListLabel 245"/>
    <w:qFormat/>
    <w:rPr>
      <w:rFonts w:cs="Wingdings"/>
      <w:sz w:val="20"/>
    </w:rPr>
  </w:style>
  <w:style w:type="character" w:styleId="ListLabel246">
    <w:name w:val="ListLabel 246"/>
    <w:qFormat/>
    <w:rPr>
      <w:rFonts w:cs="Wingdings"/>
      <w:sz w:val="20"/>
    </w:rPr>
  </w:style>
  <w:style w:type="character" w:styleId="ListLabel247">
    <w:name w:val="ListLabel 247"/>
    <w:qFormat/>
    <w:rPr>
      <w:rFonts w:cs="Wingdings"/>
      <w:sz w:val="20"/>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Rule="auto" w:line="240"/>
    </w:pPr>
    <w:rPr>
      <w:sz w:val="20"/>
      <w:szCs w:val="20"/>
    </w:rPr>
  </w:style>
  <w:style w:type="paragraph" w:styleId="NormalWeb">
    <w:name w:val="Normal (Web)"/>
    <w:basedOn w:val="Normal"/>
    <w:uiPriority w:val="99"/>
    <w:unhideWhenUsed/>
    <w:qFormat/>
    <w:rsid w:val="0055236d"/>
    <w:pPr>
      <w:spacing w:beforeAutospacing="1" w:after="142"/>
    </w:pPr>
    <w:rPr>
      <w:rFonts w:ascii="Times New Roman" w:hAnsi="Times New Roman" w:eastAsia="Times New Roman" w:cs="Times New Roman"/>
      <w:sz w:val="24"/>
      <w:szCs w:val="24"/>
      <w:lang w:val="ca-ES" w:eastAsia="ca-ES"/>
    </w:rPr>
  </w:style>
  <w:style w:type="paragraph" w:styleId="ListParagraph">
    <w:name w:val="List Paragraph"/>
    <w:basedOn w:val="Normal"/>
    <w:uiPriority w:val="34"/>
    <w:qFormat/>
    <w:rsid w:val="0055236d"/>
    <w:pPr>
      <w:spacing w:before="0" w:after="200"/>
      <w:ind w:left="720" w:hanging="0"/>
      <w:contextualSpacing/>
    </w:pPr>
    <w:rPr/>
  </w:style>
  <w:style w:type="paragraph" w:styleId="Notaalpie">
    <w:name w:val="Footnote Text"/>
    <w:basedOn w:val="Normal"/>
    <w:link w:val="TextonotapieCar"/>
    <w:uiPriority w:val="99"/>
    <w:semiHidden/>
    <w:unhideWhenUsed/>
    <w:rsid w:val="00560c36"/>
    <w:pPr>
      <w:spacing w:lineRule="auto" w:line="240" w:before="0" w:after="0"/>
    </w:pPr>
    <w:rPr>
      <w:sz w:val="20"/>
      <w:szCs w:val="20"/>
    </w:rPr>
  </w:style>
  <w:style w:type="paragraph" w:styleId="Annotationsubject">
    <w:name w:val="annotation subject"/>
    <w:basedOn w:val="Annotationtext"/>
    <w:next w:val="Annotationtext"/>
    <w:link w:val="AsuntodelcomentarioCar"/>
    <w:uiPriority w:val="99"/>
    <w:semiHidden/>
    <w:unhideWhenUsed/>
    <w:qFormat/>
    <w:rsid w:val="002601b3"/>
    <w:pPr/>
    <w:rPr>
      <w:b/>
      <w:bCs/>
    </w:rPr>
  </w:style>
  <w:style w:type="paragraph" w:styleId="BalloonText">
    <w:name w:val="Balloon Text"/>
    <w:basedOn w:val="Normal"/>
    <w:link w:val="TextodegloboCar"/>
    <w:uiPriority w:val="99"/>
    <w:semiHidden/>
    <w:unhideWhenUsed/>
    <w:qFormat/>
    <w:rsid w:val="002601b3"/>
    <w:pPr>
      <w:spacing w:lineRule="auto" w:line="240" w:before="0" w:after="0"/>
    </w:pPr>
    <w:rPr>
      <w:rFonts w:ascii="Segoe UI" w:hAnsi="Segoe UI" w:cs="Segoe UI"/>
      <w:sz w:val="18"/>
      <w:szCs w:val="18"/>
    </w:rPr>
  </w:style>
  <w:style w:type="paragraph" w:styleId="Cabecera">
    <w:name w:val="Header"/>
    <w:basedOn w:val="Normal"/>
    <w:link w:val="EncabezadoCar"/>
    <w:uiPriority w:val="99"/>
    <w:unhideWhenUsed/>
    <w:rsid w:val="002e7b76"/>
    <w:pPr>
      <w:tabs>
        <w:tab w:val="clear" w:pos="708"/>
        <w:tab w:val="center" w:pos="4252" w:leader="none"/>
        <w:tab w:val="right" w:pos="8504" w:leader="none"/>
      </w:tabs>
      <w:spacing w:lineRule="auto" w:line="240" w:before="0" w:after="0"/>
    </w:pPr>
    <w:rPr/>
  </w:style>
  <w:style w:type="paragraph" w:styleId="Piedepgina">
    <w:name w:val="Footer"/>
    <w:basedOn w:val="Normal"/>
    <w:link w:val="PiedepginaCar"/>
    <w:uiPriority w:val="99"/>
    <w:unhideWhenUsed/>
    <w:rsid w:val="002e7b76"/>
    <w:pPr>
      <w:tabs>
        <w:tab w:val="clear" w:pos="708"/>
        <w:tab w:val="center" w:pos="4252" w:leader="none"/>
        <w:tab w:val="right" w:pos="8504" w:leader="none"/>
      </w:tabs>
      <w:spacing w:lineRule="auto" w:line="240" w:before="0" w:after="0"/>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55236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354981-402D-4481-97A0-9388929E2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Application>LibreOffice/6.1.5.2$Windows_x86 LibreOffice_project/90f8dcf33c87b3705e78202e3df5142b201bd805</Application>
  <Pages>4</Pages>
  <Words>1160</Words>
  <Characters>6167</Characters>
  <CharactersWithSpaces>7238</CharactersWithSpaces>
  <Paragraphs>65</Paragraphs>
  <Company>HP Inc.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2024-05-14T09:37:00Z</dcterms:created>
  <dc:creator>u101874</dc:creator>
  <dc:description/>
  <dc:language>es-ES</dc:language>
  <cp:lastModifiedBy/>
  <dcterms:modified xsi:type="dcterms:W3CDTF">2024-09-10T13:48:36Z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