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rPr/>
      </w:pPr>
      <w:r>
        <w:rPr>
          <w:rFonts w:eastAsia="Times New Roman" w:cs="Liberation Sans" w:ascii="Noto Sans" w:hAnsi="Noto Sans"/>
          <w:b/>
          <w:bCs/>
          <w:smallCaps/>
          <w:color w:val="004B99"/>
          <w:lang w:eastAsia="ca-ES"/>
        </w:rPr>
        <w:t xml:space="preserve">ANEXO </w:t>
      </w:r>
      <w:r>
        <w:rPr>
          <w:rFonts w:eastAsia="Times New Roman" w:cs="Times New Roman" w:ascii="Times New Roman" w:hAnsi="Times New Roman"/>
          <w:b/>
          <w:bCs/>
          <w:smallCaps/>
          <w:color w:val="004B99"/>
          <w:sz w:val="24"/>
          <w:szCs w:val="24"/>
          <w:lang w:eastAsia="ca-ES"/>
        </w:rPr>
        <w:t>6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b/>
          <w:b/>
          <w:bCs/>
          <w:color w:val="004B99"/>
          <w:lang w:eastAsia="ca-ES"/>
        </w:rPr>
      </w:pPr>
      <w:r>
        <w:rPr>
          <w:rFonts w:eastAsia="Times New Roman" w:cs="Times New Roman" w:ascii="Noto Sans" w:hAnsi="Noto Sans"/>
          <w:b/>
          <w:bCs/>
          <w:color w:val="004B99"/>
          <w:lang w:eastAsia="ca-ES"/>
        </w:rPr>
        <w:t>Declaración responsable de que la entidad solicitante no se encuentra sometida a ninguno de los supuestos de prohibición para ser beneficiaria de subvenciones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b/>
          <w:b/>
          <w:bCs/>
          <w:color w:val="004B99"/>
          <w:lang w:eastAsia="ca-ES"/>
        </w:rPr>
      </w:pPr>
      <w:r>
        <w:rPr>
          <w:rFonts w:eastAsia="Times New Roman" w:cs="Times New Roman" w:ascii="Noto Sans" w:hAnsi="Noto Sans"/>
          <w:b/>
          <w:bCs/>
          <w:color w:val="004B99"/>
          <w:lang w:eastAsia="ca-ES"/>
        </w:rPr>
      </w:r>
    </w:p>
    <w:tbl>
      <w:tblPr>
        <w:tblStyle w:val="Tablaconcuadrcula"/>
        <w:tblW w:w="8494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38"/>
        <w:gridCol w:w="4955"/>
      </w:tblGrid>
      <w:tr>
        <w:trPr/>
        <w:tc>
          <w:tcPr>
            <w:tcW w:w="353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lang w:eastAsia="ca-ES"/>
              </w:rPr>
              <w:t>Nombre y apellidos:</w:t>
            </w:r>
          </w:p>
        </w:tc>
        <w:tc>
          <w:tcPr>
            <w:tcW w:w="495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eastAsia="ca-ES"/>
              </w:rPr>
            </w:pPr>
            <w:r>
              <w:rPr>
                <w:rFonts w:eastAsia="Times New Roman" w:cs="Times New Roman" w:ascii="Noto Sans" w:hAnsi="Noto Sans"/>
                <w:lang w:eastAsia="ca-ES"/>
              </w:rPr>
            </w:r>
          </w:p>
        </w:tc>
      </w:tr>
      <w:tr>
        <w:trPr/>
        <w:tc>
          <w:tcPr>
            <w:tcW w:w="353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lang w:eastAsia="ca-ES"/>
              </w:rPr>
              <w:t>DNI/NIE:</w:t>
            </w:r>
          </w:p>
        </w:tc>
        <w:tc>
          <w:tcPr>
            <w:tcW w:w="495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eastAsia="ca-ES"/>
              </w:rPr>
            </w:pPr>
            <w:r>
              <w:rPr>
                <w:rFonts w:eastAsia="Times New Roman" w:cs="Times New Roman" w:ascii="Noto Sans" w:hAnsi="Noto Sans"/>
                <w:lang w:eastAsia="ca-ES"/>
              </w:rPr>
            </w:r>
          </w:p>
        </w:tc>
      </w:tr>
      <w:tr>
        <w:trPr/>
        <w:tc>
          <w:tcPr>
            <w:tcW w:w="353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lang w:eastAsia="ca-ES"/>
              </w:rPr>
              <w:t>Cargo:</w:t>
            </w:r>
          </w:p>
        </w:tc>
        <w:tc>
          <w:tcPr>
            <w:tcW w:w="495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lang w:eastAsia="ca-ES"/>
              </w:rPr>
            </w:r>
          </w:p>
        </w:tc>
      </w:tr>
      <w:tr>
        <w:trPr/>
        <w:tc>
          <w:tcPr>
            <w:tcW w:w="353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pacing w:val="-4"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spacing w:val="-4"/>
                <w:lang w:eastAsia="ca-ES"/>
              </w:rPr>
              <w:t>En representación de la entidad:</w:t>
            </w:r>
          </w:p>
        </w:tc>
        <w:tc>
          <w:tcPr>
            <w:tcW w:w="495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lang w:eastAsia="ca-ES"/>
              </w:rPr>
            </w:pPr>
            <w:r>
              <w:rPr>
                <w:rFonts w:eastAsia="Times New Roman" w:cs="Times New Roman" w:ascii="Noto Sans" w:hAnsi="Noto Sans"/>
                <w:lang w:eastAsia="ca-ES"/>
              </w:rPr>
            </w:r>
          </w:p>
        </w:tc>
      </w:tr>
      <w:tr>
        <w:trPr/>
        <w:tc>
          <w:tcPr>
            <w:tcW w:w="3538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lang w:eastAsia="ca-ES"/>
              </w:rPr>
              <w:t>NIF/CIF:</w:t>
            </w:r>
          </w:p>
        </w:tc>
        <w:tc>
          <w:tcPr>
            <w:tcW w:w="495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lang w:eastAsia="ca-ES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b/>
          <w:b/>
          <w:bCs/>
          <w:color w:val="004B99"/>
          <w:lang w:eastAsia="ca-ES"/>
        </w:rPr>
      </w:pPr>
      <w:r>
        <w:rPr>
          <w:rFonts w:eastAsia="Times New Roman" w:cs="Times New Roman" w:ascii="Noto Sans" w:hAnsi="Noto Sans"/>
          <w:b/>
          <w:bCs/>
          <w:color w:val="004B99"/>
          <w:lang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smallCaps/>
          <w:lang w:eastAsia="ca-ES"/>
        </w:rPr>
      </w:pPr>
      <w:r>
        <w:rPr>
          <w:rFonts w:eastAsia="Times New Roman" w:cs="Times New Roman" w:ascii="Noto Sans" w:hAnsi="Noto Sans"/>
          <w:b/>
          <w:bCs/>
          <w:smallCaps/>
          <w:lang w:eastAsia="ca-ES"/>
        </w:rPr>
        <w:t>DECLARO:</w:t>
      </w:r>
    </w:p>
    <w:p>
      <w:pPr>
        <w:pStyle w:val="Normal"/>
        <w:spacing w:lineRule="auto" w:line="240" w:before="0" w:after="0"/>
        <w:rPr>
          <w:rFonts w:ascii="Noto Sans" w:hAnsi="Noto Sans" w:eastAsia="Times New Roman" w:cs="Arial"/>
          <w:lang w:eastAsia="ca-ES"/>
        </w:rPr>
      </w:pPr>
      <w:r>
        <w:rPr>
          <w:rFonts w:eastAsia="Times New Roman" w:cs="Arial" w:ascii="Noto Sans" w:hAnsi="Noto Sans"/>
          <w:lang w:eastAsia="ca-ES"/>
        </w:rPr>
      </w:r>
    </w:p>
    <w:p>
      <w:pPr>
        <w:pStyle w:val="ListParagraph"/>
        <w:numPr>
          <w:ilvl w:val="0"/>
          <w:numId w:val="2"/>
        </w:numPr>
        <w:spacing w:lineRule="auto" w:line="240" w:before="0" w:after="0"/>
        <w:ind w:left="284" w:hanging="284"/>
        <w:contextualSpacing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Arial" w:ascii="Noto Sans" w:hAnsi="Noto Sans"/>
          <w:lang w:eastAsia="ca-ES"/>
        </w:rPr>
        <w:t xml:space="preserve">Que la entidad solicitante no está incluida en ninguno de los supuestos de prohibición para ser beneficiaria de subvenciones que se enumeran a continuación, establecidos en el artículo 10 </w:t>
      </w:r>
      <w:r>
        <w:rPr>
          <w:rFonts w:eastAsia="Times New Roman" w:cs="Arial" w:ascii="Noto Sans" w:hAnsi="Noto Sans"/>
          <w:color w:val="000000"/>
          <w:lang w:eastAsia="ca-ES"/>
        </w:rPr>
        <w:t>del Texto refundido de la Ley de subvenciones, aprobado por el Decreto Legislativo 2/2005, de 28 de diciembre</w:t>
      </w:r>
      <w:r>
        <w:rPr>
          <w:rFonts w:eastAsia="Times New Roman" w:cs="Arial" w:ascii="Noto Sans" w:hAnsi="Noto Sans"/>
          <w:lang w:eastAsia="ca-ES"/>
        </w:rPr>
        <w:t>, en relación con el artículo 13 de la Ley 38/2003, de 17 de noviembre, General de Subvenciones: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sz w:val="12"/>
          <w:lang w:eastAsia="ca-ES"/>
        </w:rPr>
      </w:pPr>
      <w:r>
        <w:rPr>
          <w:rFonts w:eastAsia="Times New Roman" w:cs="Times New Roman" w:ascii="Noto Sans" w:hAnsi="Noto Sans"/>
          <w:sz w:val="12"/>
          <w:lang w:eastAsia="ca-ES"/>
        </w:rPr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567" w:hanging="284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lang w:eastAsia="ca-ES"/>
        </w:rPr>
        <w:t xml:space="preserve">Haber sido condenada mediante una sentencia firme a la pena de pérdida de la posibilidad de obtener subvenciones o ayudas públicas, o por delitos de prevaricación, soborno, malversación de fondos públicos, tráfico de influencias, fraudes y exacciones ilegales o delitos urbanísticos. 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567" w:hanging="284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lang w:eastAsia="ca-ES"/>
        </w:rPr>
        <w:t>Haber solicitado la declaración de concurso, haber sido declarada insolvente en cualquier procedimiento, estar declarada en concurso, estar sujeta a intervención judicial o haber sido inhabilitada de acuerdo con la Ley concursal sin que haya concluido el periodo de inhabilitación fijado en la sentencia de calificación del concurso.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567" w:hanging="284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lang w:eastAsia="ca-ES"/>
        </w:rPr>
        <w:t xml:space="preserve">Haber dado lugar, por una causa de la que haya sido declarada culpable, a la resolución firme de cualquier contrato subscrito con la Administración. 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567" w:hanging="284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spacing w:val="-2"/>
          <w:lang w:eastAsia="ca-ES"/>
        </w:rPr>
        <w:t>Que la persona física, los administradores de las sociedades mercantiles o los que</w:t>
      </w:r>
      <w:r>
        <w:rPr>
          <w:rFonts w:eastAsia="Times New Roman" w:cs="Times New Roman" w:ascii="Noto Sans" w:hAnsi="Noto Sans"/>
          <w:lang w:eastAsia="ca-ES"/>
        </w:rPr>
        <w:t xml:space="preserve"> tengan la representación legal de otras personas jurídicas estén sometidos </w:t>
      </w:r>
      <w:r>
        <w:rPr>
          <w:rFonts w:eastAsia="Times New Roman" w:cs="Times New Roman" w:ascii="Noto Sans" w:hAnsi="Noto Sans"/>
          <w:spacing w:val="-2"/>
          <w:lang w:eastAsia="ca-ES"/>
        </w:rPr>
        <w:t xml:space="preserve">a alguno de los supuestos de la Ley 3/2015, de 30 de marzo, reguladora del ejercicio </w:t>
      </w:r>
      <w:r>
        <w:rPr>
          <w:rFonts w:eastAsia="Times New Roman" w:cs="Times New Roman" w:ascii="Noto Sans" w:hAnsi="Noto Sans"/>
          <w:lang w:eastAsia="ca-ES"/>
        </w:rPr>
        <w:t>de alto cargo de la Administración General del Estado; de la Ley 2/1996, de 19 de noviembre, de incompatibilidades de los miembros del Gobierno de las Illes Balears y de los altos cargos, o de la Ley 53/1984, de 26 de diciembre, de incompatibilidades del personal al servicio de las administraciones públicas, o que se trate de cualquiera de los cargos electivos que regulan la Ley Orgánica 5/1985, de 19 de junio, del Régimen Electoral General, y la Ley 8/1986, de 26 de noviembre, Electoral de la Comunidad Autónoma de las Illes Balears, en los términos que establezca dicha normativa.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567" w:hanging="284"/>
        <w:rPr/>
      </w:pPr>
      <w:r>
        <w:rPr>
          <w:rFonts w:eastAsia="Times New Roman" w:cs="Times New Roman" w:ascii="Noto Sans" w:hAnsi="Noto Sans"/>
          <w:lang w:eastAsia="ca-ES"/>
        </w:rPr>
        <w:t xml:space="preserve">No estar al corriente en el cumplimiento de las obligaciones tributarias o con la Seguridad Social a las que se refiere la letra </w:t>
      </w:r>
      <w:r>
        <w:rPr>
          <w:rFonts w:eastAsia="Times New Roman" w:cs="Times New Roman" w:ascii="Noto Sans" w:hAnsi="Noto Sans"/>
          <w:i/>
          <w:iCs/>
          <w:lang w:eastAsia="ca-ES"/>
        </w:rPr>
        <w:t>f)</w:t>
      </w:r>
      <w:r>
        <w:rPr>
          <w:rFonts w:eastAsia="Times New Roman" w:cs="Times New Roman" w:ascii="Noto Sans" w:hAnsi="Noto Sans"/>
          <w:lang w:eastAsia="ca-ES"/>
        </w:rPr>
        <w:t xml:space="preserve"> del artículo 11 de la Ley de subvenciones, en la forma que se determine por reglamento.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567" w:hanging="284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lang w:eastAsia="ca-ES"/>
        </w:rPr>
        <w:t>Tener la residencia fiscal en un país o un territorio calificado por reglamento como paraíso fiscal.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567" w:hanging="284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lang w:eastAsia="ca-ES"/>
        </w:rPr>
        <w:t>No estar al corriente de pago de obligaciones por reintegro de subvenciones en los términos que se determinen por reglamento.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567" w:hanging="284"/>
        <w:rPr/>
      </w:pPr>
      <w:r>
        <w:rPr>
          <w:rFonts w:eastAsia="Times New Roman" w:cs="Times New Roman" w:ascii="Noto Sans" w:hAnsi="Noto Sans"/>
          <w:lang w:eastAsia="ca-ES"/>
        </w:rPr>
        <w:t>Haber sido sancionada mediante sentencia o resolución firme con la pérdida de la posibilidad de obtener subvenciones según la Ley de subvenciones o la Ley General Tributaria.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567" w:hanging="284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spacing w:val="-2"/>
          <w:lang w:eastAsia="ca-ES"/>
        </w:rPr>
        <w:t>Haber sido sancionada mediante sentencia o resolución firme con la pérdida</w:t>
      </w:r>
      <w:r>
        <w:rPr>
          <w:rFonts w:eastAsia="Times New Roman" w:cs="Times New Roman" w:ascii="Noto Sans" w:hAnsi="Noto Sans"/>
          <w:lang w:eastAsia="ca-ES"/>
        </w:rPr>
        <w:t xml:space="preserve"> de la posibilidad de obtener subvenciones de acuerdo con lo que prevén los </w:t>
      </w:r>
      <w:r>
        <w:rPr>
          <w:rFonts w:eastAsia="Times New Roman" w:cs="Times New Roman" w:ascii="Noto Sans" w:hAnsi="Noto Sans"/>
          <w:spacing w:val="-2"/>
          <w:lang w:eastAsia="ca-ES"/>
        </w:rPr>
        <w:t>artículos 27.1 y 38.3 de la Ley 2/2018, de 13 de abril, de memoria y reconocimiento</w:t>
      </w:r>
      <w:r>
        <w:rPr>
          <w:rFonts w:eastAsia="Times New Roman" w:cs="Times New Roman" w:ascii="Noto Sans" w:hAnsi="Noto Sans"/>
          <w:lang w:eastAsia="ca-ES"/>
        </w:rPr>
        <w:t xml:space="preserve"> democráticos de las Illes Balears.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567" w:hanging="284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lang w:eastAsia="ca-ES"/>
        </w:rPr>
        <w:t xml:space="preserve">Incumplir los requisitos a los que se refiere la letra </w:t>
      </w:r>
      <w:r>
        <w:rPr>
          <w:rFonts w:eastAsia="Times New Roman" w:cs="Times New Roman" w:ascii="Noto Sans" w:hAnsi="Noto Sans"/>
          <w:i/>
          <w:iCs/>
          <w:lang w:eastAsia="ca-ES"/>
        </w:rPr>
        <w:t>a)</w:t>
      </w:r>
      <w:r>
        <w:rPr>
          <w:rFonts w:eastAsia="Times New Roman" w:cs="Times New Roman" w:ascii="Noto Sans" w:hAnsi="Noto Sans"/>
          <w:lang w:eastAsia="ca-ES"/>
        </w:rPr>
        <w:t xml:space="preserve"> del artículo 42 de la Ley de promoción de la seguridad y la salud en el trabajo en las Illes Balears o haber sido sancionada mediante una sentencia o resolución firme por las faltas a las que hace referencia la letra </w:t>
      </w:r>
      <w:r>
        <w:rPr>
          <w:rFonts w:eastAsia="Times New Roman" w:cs="Times New Roman" w:ascii="Noto Sans" w:hAnsi="Noto Sans"/>
          <w:i/>
          <w:iCs/>
          <w:lang w:eastAsia="ca-ES"/>
        </w:rPr>
        <w:t>b)</w:t>
      </w:r>
      <w:r>
        <w:rPr>
          <w:rFonts w:eastAsia="Times New Roman" w:cs="Times New Roman" w:ascii="Noto Sans" w:hAnsi="Noto Sans"/>
          <w:lang w:eastAsia="ca-ES"/>
        </w:rPr>
        <w:t xml:space="preserve"> del mismo precepto legal.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567" w:hanging="284"/>
        <w:rPr/>
      </w:pPr>
      <w:r>
        <w:rPr>
          <w:rFonts w:eastAsia="Times New Roman" w:cs="Times New Roman" w:ascii="Noto Sans" w:hAnsi="Noto Sans"/>
          <w:lang w:eastAsia="ca-ES"/>
        </w:rPr>
        <w:t>Ser una agrupación de las que prevé el párrafo segundo del apartado 3 del artículo 9 de la Ley de subvenciones cuando cualquiera de sus miembros esté afectado por las prohibiciones anteriores.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sz w:val="12"/>
          <w:lang w:eastAsia="ca-ES"/>
        </w:rPr>
      </w:pPr>
      <w:r>
        <w:rPr>
          <w:rFonts w:eastAsia="Times New Roman" w:cs="Times New Roman" w:ascii="Noto Sans" w:hAnsi="Noto Sans"/>
          <w:sz w:val="12"/>
          <w:lang w:eastAsia="ca-ES"/>
        </w:rPr>
      </w:r>
    </w:p>
    <w:p>
      <w:pPr>
        <w:pStyle w:val="ListParagraph"/>
        <w:numPr>
          <w:ilvl w:val="0"/>
          <w:numId w:val="2"/>
        </w:numPr>
        <w:spacing w:lineRule="auto" w:line="240" w:before="0" w:after="0"/>
        <w:ind w:left="284" w:hanging="284"/>
        <w:contextualSpacing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lang w:eastAsia="ca-ES"/>
        </w:rPr>
        <w:t xml:space="preserve">En el caso de asociaciones, que la entidad no se encuentra sometida a ninguno de los supuestos de prohibición para ser beneficiaria de subvenciones que establecen los apartados 5 y 6 del artículo 4 de la Ley Orgánica 1/2002, de 22 de marzo, reguladora del Derecho </w:t>
      </w:r>
      <w:r>
        <w:rPr>
          <w:rFonts w:eastAsia="Times New Roman" w:cs="Arial" w:ascii="Noto Sans" w:hAnsi="Noto Sans"/>
          <w:lang w:eastAsia="ca-ES"/>
        </w:rPr>
        <w:t>de Asociación</w:t>
      </w:r>
      <w:r>
        <w:rPr>
          <w:rFonts w:eastAsia="Times New Roman" w:cs="Times New Roman" w:ascii="Noto Sans" w:hAnsi="Noto Sans"/>
          <w:lang w:eastAsia="ca-ES"/>
        </w:rPr>
        <w:t>.</w:t>
      </w:r>
    </w:p>
    <w:p>
      <w:pPr>
        <w:pStyle w:val="Normal"/>
        <w:spacing w:lineRule="auto" w:line="240" w:before="0" w:after="0"/>
        <w:rPr>
          <w:rFonts w:ascii="Noto Sans" w:hAnsi="Noto Sans" w:eastAsia="Times New Roman" w:cs="Arial"/>
          <w:color w:val="000000"/>
          <w:sz w:val="12"/>
          <w:lang w:eastAsia="ca-ES"/>
        </w:rPr>
      </w:pPr>
      <w:r>
        <w:rPr>
          <w:rFonts w:eastAsia="Times New Roman" w:cs="Arial" w:ascii="Noto Sans" w:hAnsi="Noto Sans"/>
          <w:color w:val="000000"/>
          <w:sz w:val="12"/>
          <w:lang w:eastAsia="ca-ES"/>
        </w:rPr>
      </w:r>
    </w:p>
    <w:p>
      <w:pPr>
        <w:pStyle w:val="ListParagraph"/>
        <w:numPr>
          <w:ilvl w:val="0"/>
          <w:numId w:val="2"/>
        </w:numPr>
        <w:spacing w:lineRule="auto" w:line="240" w:before="0" w:after="0"/>
        <w:ind w:left="284" w:hanging="284"/>
        <w:contextualSpacing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Arial" w:ascii="Noto Sans" w:hAnsi="Noto Sans"/>
          <w:color w:val="000000"/>
          <w:lang w:eastAsia="ca-ES"/>
        </w:rPr>
        <w:t xml:space="preserve">En el caso de asociaciones, que la entidad no se encuentra sometida a la prohibición para ser </w:t>
      </w:r>
      <w:r>
        <w:rPr>
          <w:rFonts w:eastAsia="Times New Roman" w:cs="Times New Roman" w:ascii="Noto Sans" w:hAnsi="Noto Sans"/>
          <w:lang w:eastAsia="ca-ES"/>
        </w:rPr>
        <w:t>beneficiaria</w:t>
      </w:r>
      <w:r>
        <w:rPr>
          <w:rFonts w:eastAsia="Times New Roman" w:cs="Arial" w:ascii="Noto Sans" w:hAnsi="Noto Sans"/>
          <w:color w:val="000000"/>
          <w:lang w:eastAsia="ca-ES"/>
        </w:rPr>
        <w:t xml:space="preserve"> de subvenciones debido al hecho de que se haya </w:t>
      </w:r>
      <w:r>
        <w:rPr>
          <w:rFonts w:eastAsia="Times New Roman" w:cs="Arial" w:ascii="Noto Sans" w:hAnsi="Noto Sans"/>
          <w:lang w:eastAsia="ca-ES"/>
        </w:rPr>
        <w:t>suspendido</w:t>
      </w:r>
      <w:r>
        <w:rPr>
          <w:rFonts w:eastAsia="Times New Roman" w:cs="Arial" w:ascii="Noto Sans" w:hAnsi="Noto Sans"/>
          <w:color w:val="000000"/>
          <w:lang w:eastAsia="ca-ES"/>
        </w:rPr>
        <w:t xml:space="preserve"> el procedimiento administrativo de inscripción en el correspondiente registro porque se hayan encontrado indicios </w:t>
      </w:r>
      <w:r>
        <w:rPr>
          <w:rFonts w:eastAsia="Times New Roman" w:cs="Arial" w:ascii="Noto Sans" w:hAnsi="Noto Sans"/>
          <w:lang w:eastAsia="ca-ES"/>
        </w:rPr>
        <w:t>racionales</w:t>
      </w:r>
      <w:r>
        <w:rPr>
          <w:rFonts w:eastAsia="Times New Roman" w:cs="Arial" w:ascii="Noto Sans" w:hAnsi="Noto Sans"/>
          <w:color w:val="000000"/>
          <w:lang w:eastAsia="ca-ES"/>
        </w:rPr>
        <w:t xml:space="preserve"> de ilicitud penal, en aplicación del artículo 30.4 de la Ley Orgánica 1/2002, mientras no haya una resolución firme en virtud de la cual se pueda efectuar la inscripción.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color w:val="000000"/>
          <w:sz w:val="12"/>
          <w:lang w:eastAsia="ca-ES"/>
        </w:rPr>
      </w:pPr>
      <w:r>
        <w:rPr>
          <w:rFonts w:eastAsia="Times New Roman" w:cs="Times New Roman" w:ascii="Noto Sans" w:hAnsi="Noto Sans"/>
          <w:color w:val="000000"/>
          <w:sz w:val="12"/>
          <w:lang w:eastAsia="ca-ES"/>
        </w:rPr>
      </w:r>
    </w:p>
    <w:p>
      <w:pPr>
        <w:pStyle w:val="ListParagraph"/>
        <w:numPr>
          <w:ilvl w:val="0"/>
          <w:numId w:val="2"/>
        </w:numPr>
        <w:spacing w:lineRule="auto" w:line="240" w:before="0" w:after="0"/>
        <w:ind w:left="284" w:hanging="284"/>
        <w:contextualSpacing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color w:val="000000"/>
          <w:lang w:eastAsia="ca-ES"/>
        </w:rPr>
        <w:t xml:space="preserve">Que la entidad no ha sido objeto de sanciones administrativas firmes ni </w:t>
      </w:r>
      <w:r>
        <w:rPr>
          <w:rFonts w:eastAsia="Times New Roman" w:cs="Times New Roman" w:ascii="Noto Sans" w:hAnsi="Noto Sans"/>
          <w:lang w:eastAsia="ca-ES"/>
        </w:rPr>
        <w:t>de sentencias</w:t>
      </w:r>
      <w:r>
        <w:rPr>
          <w:rFonts w:eastAsia="Times New Roman" w:cs="Times New Roman" w:ascii="Noto Sans" w:hAnsi="Noto Sans"/>
          <w:color w:val="000000"/>
          <w:lang w:eastAsia="ca-ES"/>
        </w:rPr>
        <w:t xml:space="preserve"> condenatorias firmes por haber ejercido o tolerado prácticas laborales consideradas discriminatorias por razón de sexo o de género, de acuerdo con el artículo 11.2 de la Ley 11/2016, de 28 de julio, de igualdad entre mujeres y hombres, ni ha sido sancionada mediante una resolución firme con la pérdida de la posibilidad de obtener una subvención, de acuerdo con la Ley 8/2016, de 30 de mayo, para garantizar los derechos de lesbianas, gays, trans, bisexuales e intersexuales y para erradicar la LGTBI-fobia, o cualquier otra norma aplicable.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lang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lang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lang w:eastAsia="ca-ES"/>
        </w:rPr>
        <w:t>____________________, _____ de __________________ de 2024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lang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eastAsia="ca-ES"/>
        </w:rPr>
      </w:pPr>
      <w:r>
        <w:rPr>
          <w:rFonts w:eastAsia="Times New Roman" w:cs="Times New Roman" w:ascii="Noto Sans" w:hAnsi="Noto Sans"/>
          <w:lang w:eastAsia="ca-ES"/>
        </w:rPr>
      </w:r>
    </w:p>
    <w:p>
      <w:pPr>
        <w:pStyle w:val="Normal"/>
        <w:spacing w:lineRule="auto" w:line="240" w:before="0" w:after="0"/>
        <w:rPr/>
      </w:pPr>
      <w:bookmarkStart w:id="0" w:name="_GoBack"/>
      <w:r>
        <w:rPr>
          <w:rFonts w:eastAsia="Times New Roman" w:cs="Times New Roman" w:ascii="Noto Sans" w:hAnsi="Noto Sans"/>
          <w:color w:val="808080" w:themeColor="background1" w:themeShade="80"/>
          <w:sz w:val="18"/>
          <w:szCs w:val="18"/>
          <w:lang w:eastAsia="ca-ES"/>
        </w:rPr>
        <w:t>[firma]</w:t>
      </w:r>
      <w:bookmarkEnd w:id="0"/>
    </w:p>
    <w:sectPr>
      <w:type w:val="nextPage"/>
      <w:pgSz w:w="11906" w:h="16838"/>
      <w:pgMar w:left="1701" w:right="1701" w:header="0" w:top="1418" w:footer="0" w:bottom="141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Arial">
    <w:charset w:val="00"/>
    <w:family w:val="roman"/>
    <w:pitch w:val="variable"/>
  </w:font>
  <w:font w:name="Segoe UI">
    <w:charset w:val="00"/>
    <w:family w:val="roman"/>
    <w:pitch w:val="variable"/>
  </w:font>
  <w:font w:name="Noto Sans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Noto Sans">
    <w:charset w:val="01"/>
    <w:family w:val="swiss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—"/>
      <w:lvlJc w:val="left"/>
      <w:pPr>
        <w:tabs>
          <w:tab w:val="num" w:pos="720"/>
        </w:tabs>
        <w:ind w:left="720" w:hanging="360"/>
      </w:pPr>
      <w:rPr>
        <w:rFonts w:ascii="Noto Sans" w:hAnsi="Noto Sans" w:cs="Noto Sans" w:hint="default"/>
        <w:sz w:val="20"/>
        <w:rFonts w:cs="Noto Sans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rFonts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rFonts w:cs="Wingdings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rFonts w:cs="Wingdings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rFonts w:cs="Wingdings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rFonts w:cs="Wingdings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rFonts w:cs="Wingdings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rFonts w:cs="Wingdings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rFonts w:cs="Wingdings"/>
      </w:r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 w:cs="Arial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6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s-E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a875c2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es-ES" w:eastAsia="en-US" w:bidi="ar-SA"/>
    </w:rPr>
  </w:style>
  <w:style w:type="paragraph" w:styleId="Ttulo1">
    <w:name w:val="Heading 1"/>
    <w:basedOn w:val="Normal"/>
    <w:link w:val="Ttulo1Car"/>
    <w:uiPriority w:val="9"/>
    <w:qFormat/>
    <w:rsid w:val="00cc1e07"/>
    <w:pPr>
      <w:keepNext w:val="true"/>
      <w:spacing w:lineRule="auto" w:line="240" w:beforeAutospacing="1" w:afterAutospacing="1"/>
      <w:outlineLvl w:val="0"/>
    </w:pPr>
    <w:rPr>
      <w:rFonts w:ascii="Times New Roman" w:hAnsi="Times New Roman" w:eastAsia="Times New Roman" w:cs="Times New Roman"/>
      <w:b/>
      <w:bCs/>
      <w:kern w:val="2"/>
      <w:sz w:val="48"/>
      <w:szCs w:val="48"/>
      <w:lang w:val="ca-ES" w:eastAsia="ca-ES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ocomentarioCar" w:customStyle="1">
    <w:name w:val="Texto comentario Car"/>
    <w:basedOn w:val="DefaultParagraphFont"/>
    <w:link w:val="Textocomentario"/>
    <w:uiPriority w:val="99"/>
    <w:semiHidden/>
    <w:qFormat/>
    <w:rsid w:val="002b7659"/>
    <w:rPr>
      <w:sz w:val="20"/>
      <w:szCs w:val="20"/>
    </w:rPr>
  </w:style>
  <w:style w:type="character" w:styleId="Ttulo1Car" w:customStyle="1">
    <w:name w:val="Título 1 Car"/>
    <w:basedOn w:val="DefaultParagraphFont"/>
    <w:link w:val="Ttulo1"/>
    <w:uiPriority w:val="9"/>
    <w:qFormat/>
    <w:rsid w:val="00cc1e07"/>
    <w:rPr>
      <w:rFonts w:ascii="Times New Roman" w:hAnsi="Times New Roman" w:eastAsia="Times New Roman" w:cs="Times New Roman"/>
      <w:b/>
      <w:bCs/>
      <w:kern w:val="2"/>
      <w:sz w:val="48"/>
      <w:szCs w:val="48"/>
      <w:lang w:val="ca-ES" w:eastAsia="ca-ES"/>
    </w:rPr>
  </w:style>
  <w:style w:type="character" w:styleId="ZPrincipiodelformularioCar" w:customStyle="1">
    <w:name w:val="z-Principio del formulario Car"/>
    <w:basedOn w:val="DefaultParagraphFont"/>
    <w:link w:val="z-Principiodelformulario"/>
    <w:uiPriority w:val="99"/>
    <w:semiHidden/>
    <w:qFormat/>
    <w:rsid w:val="00cc1e07"/>
    <w:rPr>
      <w:rFonts w:ascii="Arial" w:hAnsi="Arial" w:eastAsia="Times New Roman" w:cs="Arial"/>
      <w:vanish/>
      <w:sz w:val="16"/>
      <w:szCs w:val="16"/>
      <w:lang w:val="ca-ES" w:eastAsia="ca-ES"/>
    </w:rPr>
  </w:style>
  <w:style w:type="character" w:styleId="ZFinaldelformularioCar" w:customStyle="1">
    <w:name w:val="z-Final del formulario Car"/>
    <w:basedOn w:val="DefaultParagraphFont"/>
    <w:link w:val="z-Finaldelformulario"/>
    <w:uiPriority w:val="99"/>
    <w:semiHidden/>
    <w:qFormat/>
    <w:rsid w:val="00cc1e07"/>
    <w:rPr>
      <w:rFonts w:ascii="Arial" w:hAnsi="Arial" w:eastAsia="Times New Roman" w:cs="Arial"/>
      <w:vanish/>
      <w:sz w:val="16"/>
      <w:szCs w:val="16"/>
      <w:lang w:val="ca-ES" w:eastAsia="ca-ES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3c332c"/>
    <w:rPr>
      <w:sz w:val="16"/>
      <w:szCs w:val="16"/>
    </w:rPr>
  </w:style>
  <w:style w:type="character" w:styleId="AsuntodelcomentarioCar" w:customStyle="1">
    <w:name w:val="Asunto del comentario Car"/>
    <w:basedOn w:val="TextocomentarioCar"/>
    <w:link w:val="Asuntodelcomentario"/>
    <w:uiPriority w:val="99"/>
    <w:semiHidden/>
    <w:qFormat/>
    <w:rsid w:val="003c332c"/>
    <w:rPr>
      <w:b/>
      <w:bCs/>
      <w:sz w:val="20"/>
      <w:szCs w:val="20"/>
    </w:rPr>
  </w:style>
  <w:style w:type="character" w:styleId="TextodegloboCar" w:customStyle="1">
    <w:name w:val="Texto de globo Car"/>
    <w:basedOn w:val="DefaultParagraphFont"/>
    <w:link w:val="Textodeglobo"/>
    <w:uiPriority w:val="99"/>
    <w:semiHidden/>
    <w:qFormat/>
    <w:rsid w:val="003c332c"/>
    <w:rPr>
      <w:rFonts w:ascii="Segoe UI" w:hAnsi="Segoe UI" w:cs="Segoe UI"/>
      <w:sz w:val="18"/>
      <w:szCs w:val="18"/>
    </w:rPr>
  </w:style>
  <w:style w:type="character" w:styleId="ListLabel1">
    <w:name w:val="ListLabel 1"/>
    <w:qFormat/>
    <w:rPr>
      <w:rFonts w:ascii="Noto Sans" w:hAnsi="Noto Sans" w:eastAsia="Calibri"/>
      <w:sz w:val="20"/>
    </w:rPr>
  </w:style>
  <w:style w:type="character" w:styleId="ListLabel2">
    <w:name w:val="ListLabel 2"/>
    <w:qFormat/>
    <w:rPr>
      <w:sz w:val="20"/>
    </w:rPr>
  </w:style>
  <w:style w:type="character" w:styleId="ListLabel3">
    <w:name w:val="ListLabel 3"/>
    <w:qFormat/>
    <w:rPr>
      <w:sz w:val="20"/>
    </w:rPr>
  </w:style>
  <w:style w:type="character" w:styleId="ListLabel4">
    <w:name w:val="ListLabel 4"/>
    <w:qFormat/>
    <w:rPr>
      <w:sz w:val="20"/>
    </w:rPr>
  </w:style>
  <w:style w:type="character" w:styleId="ListLabel5">
    <w:name w:val="ListLabel 5"/>
    <w:qFormat/>
    <w:rPr>
      <w:sz w:val="20"/>
    </w:rPr>
  </w:style>
  <w:style w:type="character" w:styleId="ListLabel6">
    <w:name w:val="ListLabel 6"/>
    <w:qFormat/>
    <w:rPr>
      <w:sz w:val="20"/>
    </w:rPr>
  </w:style>
  <w:style w:type="character" w:styleId="ListLabel7">
    <w:name w:val="ListLabel 7"/>
    <w:qFormat/>
    <w:rPr>
      <w:sz w:val="20"/>
    </w:rPr>
  </w:style>
  <w:style w:type="character" w:styleId="ListLabel8">
    <w:name w:val="ListLabel 8"/>
    <w:qFormat/>
    <w:rPr>
      <w:sz w:val="20"/>
    </w:rPr>
  </w:style>
  <w:style w:type="character" w:styleId="ListLabel9">
    <w:name w:val="ListLabel 9"/>
    <w:qFormat/>
    <w:rPr>
      <w:sz w:val="20"/>
    </w:rPr>
  </w:style>
  <w:style w:type="character" w:styleId="ListLabel10">
    <w:name w:val="ListLabel 10"/>
    <w:qFormat/>
    <w:rPr>
      <w:sz w:val="20"/>
    </w:rPr>
  </w:style>
  <w:style w:type="character" w:styleId="ListLabel11">
    <w:name w:val="ListLabel 11"/>
    <w:qFormat/>
    <w:rPr>
      <w:sz w:val="20"/>
    </w:rPr>
  </w:style>
  <w:style w:type="character" w:styleId="ListLabel12">
    <w:name w:val="ListLabel 12"/>
    <w:qFormat/>
    <w:rPr>
      <w:sz w:val="20"/>
    </w:rPr>
  </w:style>
  <w:style w:type="character" w:styleId="ListLabel13">
    <w:name w:val="ListLabel 13"/>
    <w:qFormat/>
    <w:rPr>
      <w:sz w:val="20"/>
    </w:rPr>
  </w:style>
  <w:style w:type="character" w:styleId="ListLabel14">
    <w:name w:val="ListLabel 14"/>
    <w:qFormat/>
    <w:rPr>
      <w:sz w:val="20"/>
    </w:rPr>
  </w:style>
  <w:style w:type="character" w:styleId="ListLabel15">
    <w:name w:val="ListLabel 15"/>
    <w:qFormat/>
    <w:rPr>
      <w:sz w:val="20"/>
    </w:rPr>
  </w:style>
  <w:style w:type="character" w:styleId="ListLabel16">
    <w:name w:val="ListLabel 16"/>
    <w:qFormat/>
    <w:rPr>
      <w:sz w:val="20"/>
    </w:rPr>
  </w:style>
  <w:style w:type="character" w:styleId="ListLabel17">
    <w:name w:val="ListLabel 17"/>
    <w:qFormat/>
    <w:rPr>
      <w:sz w:val="20"/>
    </w:rPr>
  </w:style>
  <w:style w:type="character" w:styleId="ListLabel18">
    <w:name w:val="ListLabel 18"/>
    <w:qFormat/>
    <w:rPr>
      <w:sz w:val="20"/>
    </w:rPr>
  </w:style>
  <w:style w:type="character" w:styleId="ListLabel19">
    <w:name w:val="ListLabel 19"/>
    <w:qFormat/>
    <w:rPr>
      <w:rFonts w:ascii="Noto Sans" w:hAnsi="Noto Sans" w:cs="Arial"/>
    </w:rPr>
  </w:style>
  <w:style w:type="character" w:styleId="ListLabel20">
    <w:name w:val="ListLabel 20"/>
    <w:qFormat/>
    <w:rPr>
      <w:rFonts w:ascii="Noto Sans" w:hAnsi="Noto Sans" w:cs="Noto Sans"/>
      <w:sz w:val="20"/>
    </w:rPr>
  </w:style>
  <w:style w:type="character" w:styleId="ListLabel21">
    <w:name w:val="ListLabel 21"/>
    <w:qFormat/>
    <w:rPr>
      <w:rFonts w:cs="Courier New"/>
      <w:sz w:val="20"/>
    </w:rPr>
  </w:style>
  <w:style w:type="character" w:styleId="ListLabel22">
    <w:name w:val="ListLabel 22"/>
    <w:qFormat/>
    <w:rPr>
      <w:rFonts w:cs="Wingdings"/>
      <w:sz w:val="20"/>
    </w:rPr>
  </w:style>
  <w:style w:type="character" w:styleId="ListLabel23">
    <w:name w:val="ListLabel 23"/>
    <w:qFormat/>
    <w:rPr>
      <w:rFonts w:cs="Wingdings"/>
      <w:sz w:val="20"/>
    </w:rPr>
  </w:style>
  <w:style w:type="character" w:styleId="ListLabel24">
    <w:name w:val="ListLabel 24"/>
    <w:qFormat/>
    <w:rPr>
      <w:rFonts w:cs="Wingdings"/>
      <w:sz w:val="20"/>
    </w:rPr>
  </w:style>
  <w:style w:type="character" w:styleId="ListLabel25">
    <w:name w:val="ListLabel 25"/>
    <w:qFormat/>
    <w:rPr>
      <w:rFonts w:cs="Wingdings"/>
      <w:sz w:val="20"/>
    </w:rPr>
  </w:style>
  <w:style w:type="character" w:styleId="ListLabel26">
    <w:name w:val="ListLabel 26"/>
    <w:qFormat/>
    <w:rPr>
      <w:rFonts w:cs="Wingdings"/>
      <w:sz w:val="20"/>
    </w:rPr>
  </w:style>
  <w:style w:type="character" w:styleId="ListLabel27">
    <w:name w:val="ListLabel 27"/>
    <w:qFormat/>
    <w:rPr>
      <w:rFonts w:cs="Wingdings"/>
      <w:sz w:val="20"/>
    </w:rPr>
  </w:style>
  <w:style w:type="character" w:styleId="ListLabel28">
    <w:name w:val="ListLabel 28"/>
    <w:qFormat/>
    <w:rPr>
      <w:rFonts w:cs="Wingdings"/>
      <w:sz w:val="20"/>
    </w:rPr>
  </w:style>
  <w:style w:type="character" w:styleId="ListLabel29">
    <w:name w:val="ListLabel 29"/>
    <w:qFormat/>
    <w:rPr>
      <w:rFonts w:ascii="Noto Sans" w:hAnsi="Noto Sans" w:cs="Arial"/>
    </w:rPr>
  </w:style>
  <w:style w:type="character" w:styleId="ListLabel30">
    <w:name w:val="ListLabel 30"/>
    <w:qFormat/>
    <w:rPr>
      <w:rFonts w:ascii="Noto Sans" w:hAnsi="Noto Sans" w:cs="Noto Sans"/>
      <w:sz w:val="20"/>
    </w:rPr>
  </w:style>
  <w:style w:type="character" w:styleId="ListLabel31">
    <w:name w:val="ListLabel 31"/>
    <w:qFormat/>
    <w:rPr>
      <w:rFonts w:cs="Courier New"/>
      <w:sz w:val="20"/>
    </w:rPr>
  </w:style>
  <w:style w:type="character" w:styleId="ListLabel32">
    <w:name w:val="ListLabel 32"/>
    <w:qFormat/>
    <w:rPr>
      <w:rFonts w:cs="Wingdings"/>
      <w:sz w:val="20"/>
    </w:rPr>
  </w:style>
  <w:style w:type="character" w:styleId="ListLabel33">
    <w:name w:val="ListLabel 33"/>
    <w:qFormat/>
    <w:rPr>
      <w:rFonts w:cs="Wingdings"/>
      <w:sz w:val="20"/>
    </w:rPr>
  </w:style>
  <w:style w:type="character" w:styleId="ListLabel34">
    <w:name w:val="ListLabel 34"/>
    <w:qFormat/>
    <w:rPr>
      <w:rFonts w:cs="Wingdings"/>
      <w:sz w:val="20"/>
    </w:rPr>
  </w:style>
  <w:style w:type="character" w:styleId="ListLabel35">
    <w:name w:val="ListLabel 35"/>
    <w:qFormat/>
    <w:rPr>
      <w:rFonts w:cs="Wingdings"/>
      <w:sz w:val="20"/>
    </w:rPr>
  </w:style>
  <w:style w:type="character" w:styleId="ListLabel36">
    <w:name w:val="ListLabel 36"/>
    <w:qFormat/>
    <w:rPr>
      <w:rFonts w:cs="Wingdings"/>
      <w:sz w:val="20"/>
    </w:rPr>
  </w:style>
  <w:style w:type="character" w:styleId="ListLabel37">
    <w:name w:val="ListLabel 37"/>
    <w:qFormat/>
    <w:rPr>
      <w:rFonts w:cs="Wingdings"/>
      <w:sz w:val="20"/>
    </w:rPr>
  </w:style>
  <w:style w:type="character" w:styleId="ListLabel38">
    <w:name w:val="ListLabel 38"/>
    <w:qFormat/>
    <w:rPr>
      <w:rFonts w:cs="Wingdings"/>
      <w:sz w:val="20"/>
    </w:rPr>
  </w:style>
  <w:style w:type="character" w:styleId="ListLabel39">
    <w:name w:val="ListLabel 39"/>
    <w:qFormat/>
    <w:rPr>
      <w:rFonts w:ascii="Noto Sans" w:hAnsi="Noto Sans" w:cs="Arial"/>
    </w:rPr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uerpode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uerpodetexto"/>
    <w:pPr/>
    <w:rPr>
      <w:rFonts w:cs="Arial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Estilcomentaris" w:customStyle="1">
    <w:name w:val="Estil comentaris"/>
    <w:basedOn w:val="Annotationtext"/>
    <w:autoRedefine/>
    <w:qFormat/>
    <w:rsid w:val="002b7659"/>
    <w:pPr/>
    <w:rPr>
      <w:rFonts w:ascii="Noto Sans" w:hAnsi="Noto Sans"/>
      <w:sz w:val="18"/>
      <w:lang w:val="ca-ES"/>
    </w:rPr>
  </w:style>
  <w:style w:type="paragraph" w:styleId="Annotationtext">
    <w:name w:val="annotation text"/>
    <w:basedOn w:val="Normal"/>
    <w:link w:val="TextocomentarioCar"/>
    <w:uiPriority w:val="99"/>
    <w:semiHidden/>
    <w:unhideWhenUsed/>
    <w:qFormat/>
    <w:rsid w:val="002b7659"/>
    <w:pPr>
      <w:spacing w:lineRule="auto" w:line="240"/>
    </w:pPr>
    <w:rPr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qFormat/>
    <w:rsid w:val="00cc1e07"/>
    <w:pPr>
      <w:spacing w:beforeAutospacing="1" w:after="142"/>
    </w:pPr>
    <w:rPr>
      <w:rFonts w:ascii="Times New Roman" w:hAnsi="Times New Roman" w:eastAsia="Times New Roman" w:cs="Times New Roman"/>
      <w:sz w:val="24"/>
      <w:szCs w:val="24"/>
      <w:lang w:val="ca-ES" w:eastAsia="ca-ES"/>
    </w:rPr>
  </w:style>
  <w:style w:type="paragraph" w:styleId="HTMLTopofForm">
    <w:name w:val="HTML Top of Form"/>
    <w:basedOn w:val="Normal"/>
    <w:next w:val="Normal"/>
    <w:link w:val="z-PrincipiodelformularioCar"/>
    <w:uiPriority w:val="99"/>
    <w:semiHidden/>
    <w:unhideWhenUsed/>
    <w:qFormat/>
    <w:rsid w:val="00cc1e07"/>
    <w:pPr>
      <w:pBdr>
        <w:bottom w:val="single" w:sz="6" w:space="1" w:color="000000"/>
      </w:pBdr>
      <w:spacing w:lineRule="auto" w:line="240" w:before="0" w:after="0"/>
      <w:jc w:val="center"/>
    </w:pPr>
    <w:rPr>
      <w:rFonts w:ascii="Arial" w:hAnsi="Arial" w:eastAsia="Times New Roman" w:cs="Arial"/>
      <w:vanish/>
      <w:sz w:val="16"/>
      <w:szCs w:val="16"/>
      <w:lang w:val="ca-ES" w:eastAsia="ca-ES"/>
    </w:rPr>
  </w:style>
  <w:style w:type="paragraph" w:styleId="HTMLBottomofForm">
    <w:name w:val="HTML Bottom of Form"/>
    <w:basedOn w:val="Normal"/>
    <w:next w:val="Normal"/>
    <w:link w:val="z-FinaldelformularioCar"/>
    <w:uiPriority w:val="99"/>
    <w:semiHidden/>
    <w:unhideWhenUsed/>
    <w:qFormat/>
    <w:rsid w:val="00cc1e07"/>
    <w:pPr>
      <w:pBdr>
        <w:top w:val="single" w:sz="6" w:space="1" w:color="000000"/>
      </w:pBdr>
      <w:spacing w:lineRule="auto" w:line="240" w:before="0" w:after="0"/>
      <w:jc w:val="center"/>
    </w:pPr>
    <w:rPr>
      <w:rFonts w:ascii="Arial" w:hAnsi="Arial" w:eastAsia="Times New Roman" w:cs="Arial"/>
      <w:vanish/>
      <w:sz w:val="16"/>
      <w:szCs w:val="16"/>
      <w:lang w:val="ca-ES" w:eastAsia="ca-ES"/>
    </w:rPr>
  </w:style>
  <w:style w:type="paragraph" w:styleId="ListParagraph">
    <w:name w:val="List Paragraph"/>
    <w:basedOn w:val="Normal"/>
    <w:uiPriority w:val="34"/>
    <w:qFormat/>
    <w:rsid w:val="00c4249e"/>
    <w:pPr>
      <w:spacing w:before="0" w:after="200"/>
      <w:ind w:left="720" w:hanging="0"/>
      <w:contextualSpacing/>
    </w:pPr>
    <w:rPr/>
  </w:style>
  <w:style w:type="paragraph" w:styleId="Annotationsubject">
    <w:name w:val="annotation subject"/>
    <w:basedOn w:val="Annotationtext"/>
    <w:next w:val="Annotationtext"/>
    <w:link w:val="AsuntodelcomentarioCar"/>
    <w:uiPriority w:val="99"/>
    <w:semiHidden/>
    <w:unhideWhenUsed/>
    <w:qFormat/>
    <w:rsid w:val="003c332c"/>
    <w:pPr/>
    <w:rPr>
      <w:b/>
      <w:bCs/>
    </w:rPr>
  </w:style>
  <w:style w:type="paragraph" w:styleId="BalloonText">
    <w:name w:val="Balloon Text"/>
    <w:basedOn w:val="Normal"/>
    <w:link w:val="TextodegloboCar"/>
    <w:uiPriority w:val="99"/>
    <w:semiHidden/>
    <w:unhideWhenUsed/>
    <w:qFormat/>
    <w:rsid w:val="003c332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ae3c45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Application>LibreOffice/6.1.5.2$Windows_x86 LibreOffice_project/90f8dcf33c87b3705e78202e3df5142b201bd805</Application>
  <Pages>2</Pages>
  <Words>833</Words>
  <Characters>4270</Characters>
  <CharactersWithSpaces>5065</CharactersWithSpaces>
  <Paragraphs>25</Paragraphs>
  <Company>HP Inc.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2024-05-13T12:23:00Z</dcterms:created>
  <dc:creator>uno101874</dc:creator>
  <dc:description/>
  <dc:language>es-ES</dc:language>
  <cp:lastModifiedBy/>
  <dcterms:modified xsi:type="dcterms:W3CDTF">2024-09-09T12:43:21Z</dcterms:modified>
  <cp:revision>11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HP Inc.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